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D91D8">
      <w:pPr>
        <w:spacing w:line="820" w:lineRule="exact"/>
        <w:jc w:val="center"/>
        <w:rPr>
          <w:rFonts w:eastAsia="方正小标宋简体"/>
          <w:sz w:val="72"/>
          <w:szCs w:val="72"/>
          <w:highlight w:val="none"/>
        </w:rPr>
      </w:pPr>
    </w:p>
    <w:p w14:paraId="0188374E">
      <w:pPr>
        <w:spacing w:line="820" w:lineRule="exact"/>
        <w:jc w:val="center"/>
        <w:rPr>
          <w:rFonts w:ascii="黑体" w:hAnsi="黑体" w:eastAsia="黑体" w:cs="黑体"/>
          <w:sz w:val="72"/>
          <w:szCs w:val="72"/>
          <w:highlight w:val="none"/>
        </w:rPr>
      </w:pPr>
      <w:r>
        <w:rPr>
          <w:rFonts w:hint="eastAsia" w:ascii="黑体" w:hAnsi="黑体" w:eastAsia="黑体" w:cs="黑体"/>
          <w:sz w:val="72"/>
          <w:szCs w:val="72"/>
          <w:highlight w:val="none"/>
        </w:rPr>
        <w:t>国家标准</w:t>
      </w:r>
    </w:p>
    <w:p w14:paraId="6AF6E862">
      <w:pPr>
        <w:spacing w:line="820" w:lineRule="exact"/>
        <w:jc w:val="center"/>
        <w:rPr>
          <w:rFonts w:ascii="黑体" w:hAnsi="黑体" w:eastAsia="黑体" w:cs="黑体"/>
          <w:sz w:val="52"/>
          <w:szCs w:val="52"/>
          <w:highlight w:val="none"/>
        </w:rPr>
      </w:pPr>
      <w:r>
        <w:rPr>
          <w:rFonts w:hint="eastAsia" w:ascii="黑体" w:hAnsi="黑体" w:eastAsia="黑体" w:cs="黑体"/>
          <w:sz w:val="52"/>
          <w:szCs w:val="52"/>
          <w:highlight w:val="none"/>
        </w:rPr>
        <w:t>GB/T 37498-XXXX</w:t>
      </w:r>
    </w:p>
    <w:p w14:paraId="478BEF47">
      <w:pPr>
        <w:spacing w:line="820" w:lineRule="exact"/>
        <w:jc w:val="center"/>
        <w:rPr>
          <w:rFonts w:ascii="黑体" w:hAnsi="黑体" w:eastAsia="黑体" w:cs="黑体"/>
          <w:sz w:val="52"/>
          <w:szCs w:val="52"/>
          <w:highlight w:val="none"/>
        </w:rPr>
      </w:pPr>
      <w:r>
        <w:rPr>
          <w:rFonts w:hint="eastAsia" w:ascii="黑体" w:hAnsi="黑体" w:eastAsia="黑体" w:cs="黑体"/>
          <w:sz w:val="52"/>
          <w:szCs w:val="52"/>
          <w:highlight w:val="none"/>
        </w:rPr>
        <w:t>《天然生胶 技术分级橡胶（TSR）凝胶含量的测定》</w:t>
      </w:r>
    </w:p>
    <w:p w14:paraId="605DB4B2">
      <w:pPr>
        <w:spacing w:line="820" w:lineRule="exact"/>
        <w:jc w:val="center"/>
        <w:rPr>
          <w:rFonts w:ascii="黑体" w:hAnsi="黑体" w:eastAsia="黑体" w:cs="黑体"/>
          <w:sz w:val="48"/>
          <w:szCs w:val="48"/>
          <w:highlight w:val="none"/>
        </w:rPr>
      </w:pPr>
      <w:r>
        <w:rPr>
          <w:rFonts w:hint="eastAsia" w:ascii="黑体" w:hAnsi="黑体" w:eastAsia="黑体" w:cs="黑体"/>
          <w:sz w:val="48"/>
          <w:szCs w:val="48"/>
          <w:highlight w:val="none"/>
        </w:rPr>
        <w:t>（征求意见稿）</w:t>
      </w:r>
    </w:p>
    <w:p w14:paraId="0F1B35C1">
      <w:pPr>
        <w:spacing w:line="820" w:lineRule="exact"/>
        <w:jc w:val="center"/>
        <w:rPr>
          <w:rFonts w:ascii="黑体" w:hAnsi="黑体" w:eastAsia="黑体" w:cs="黑体"/>
          <w:sz w:val="48"/>
          <w:szCs w:val="48"/>
          <w:highlight w:val="none"/>
        </w:rPr>
      </w:pPr>
    </w:p>
    <w:p w14:paraId="57A36C5B">
      <w:pPr>
        <w:spacing w:line="820" w:lineRule="exact"/>
        <w:jc w:val="center"/>
        <w:rPr>
          <w:rFonts w:ascii="黑体" w:hAnsi="黑体" w:eastAsia="黑体" w:cs="黑体"/>
          <w:sz w:val="48"/>
          <w:szCs w:val="48"/>
          <w:highlight w:val="none"/>
        </w:rPr>
      </w:pPr>
    </w:p>
    <w:p w14:paraId="4B878FB2">
      <w:pPr>
        <w:spacing w:line="820" w:lineRule="exact"/>
        <w:jc w:val="center"/>
        <w:rPr>
          <w:rFonts w:ascii="黑体" w:hAnsi="黑体" w:eastAsia="黑体" w:cs="黑体"/>
          <w:sz w:val="72"/>
          <w:szCs w:val="72"/>
          <w:highlight w:val="none"/>
        </w:rPr>
      </w:pPr>
      <w:r>
        <w:rPr>
          <w:rFonts w:hint="eastAsia" w:ascii="黑体" w:hAnsi="黑体" w:eastAsia="黑体" w:cs="黑体"/>
          <w:sz w:val="72"/>
          <w:szCs w:val="72"/>
          <w:highlight w:val="none"/>
        </w:rPr>
        <w:t>编</w:t>
      </w:r>
    </w:p>
    <w:p w14:paraId="280093E6">
      <w:pPr>
        <w:spacing w:line="820" w:lineRule="exact"/>
        <w:jc w:val="center"/>
        <w:rPr>
          <w:rFonts w:ascii="黑体" w:hAnsi="黑体" w:eastAsia="黑体" w:cs="黑体"/>
          <w:sz w:val="72"/>
          <w:szCs w:val="72"/>
          <w:highlight w:val="none"/>
        </w:rPr>
      </w:pPr>
      <w:r>
        <w:rPr>
          <w:rFonts w:hint="eastAsia" w:ascii="黑体" w:hAnsi="黑体" w:eastAsia="黑体" w:cs="黑体"/>
          <w:sz w:val="72"/>
          <w:szCs w:val="72"/>
          <w:highlight w:val="none"/>
        </w:rPr>
        <w:t>制</w:t>
      </w:r>
    </w:p>
    <w:p w14:paraId="43F526DB">
      <w:pPr>
        <w:spacing w:line="820" w:lineRule="exact"/>
        <w:jc w:val="center"/>
        <w:rPr>
          <w:rFonts w:ascii="黑体" w:hAnsi="黑体" w:eastAsia="黑体" w:cs="黑体"/>
          <w:sz w:val="72"/>
          <w:szCs w:val="72"/>
          <w:highlight w:val="none"/>
        </w:rPr>
      </w:pPr>
      <w:r>
        <w:rPr>
          <w:rFonts w:hint="eastAsia" w:ascii="黑体" w:hAnsi="黑体" w:eastAsia="黑体" w:cs="黑体"/>
          <w:sz w:val="72"/>
          <w:szCs w:val="72"/>
          <w:highlight w:val="none"/>
        </w:rPr>
        <w:t>说</w:t>
      </w:r>
    </w:p>
    <w:p w14:paraId="36296BCB">
      <w:pPr>
        <w:spacing w:line="820" w:lineRule="exact"/>
        <w:jc w:val="center"/>
        <w:rPr>
          <w:rFonts w:ascii="黑体" w:hAnsi="黑体" w:eastAsia="黑体" w:cs="黑体"/>
          <w:sz w:val="52"/>
          <w:szCs w:val="52"/>
          <w:highlight w:val="none"/>
        </w:rPr>
      </w:pPr>
      <w:r>
        <w:rPr>
          <w:rFonts w:hint="eastAsia" w:ascii="黑体" w:hAnsi="黑体" w:eastAsia="黑体" w:cs="黑体"/>
          <w:sz w:val="72"/>
          <w:szCs w:val="72"/>
          <w:highlight w:val="none"/>
        </w:rPr>
        <w:t>明</w:t>
      </w:r>
    </w:p>
    <w:p w14:paraId="5CFF6DF6">
      <w:pPr>
        <w:jc w:val="center"/>
        <w:rPr>
          <w:rFonts w:ascii="黑体" w:hAnsi="黑体" w:eastAsia="黑体" w:cs="黑体"/>
          <w:sz w:val="52"/>
          <w:szCs w:val="52"/>
          <w:highlight w:val="none"/>
        </w:rPr>
      </w:pPr>
    </w:p>
    <w:p w14:paraId="5D5B5CB9">
      <w:pPr>
        <w:jc w:val="center"/>
        <w:rPr>
          <w:rFonts w:ascii="黑体" w:hAnsi="黑体" w:eastAsia="黑体" w:cs="黑体"/>
          <w:sz w:val="52"/>
          <w:szCs w:val="52"/>
          <w:highlight w:val="none"/>
        </w:rPr>
      </w:pPr>
    </w:p>
    <w:p w14:paraId="349E5DB6">
      <w:pPr>
        <w:jc w:val="center"/>
        <w:rPr>
          <w:rFonts w:ascii="黑体" w:hAnsi="黑体" w:eastAsia="黑体" w:cs="黑体"/>
          <w:sz w:val="36"/>
          <w:szCs w:val="36"/>
          <w:highlight w:val="none"/>
        </w:rPr>
      </w:pPr>
      <w:r>
        <w:rPr>
          <w:rFonts w:hint="eastAsia" w:ascii="黑体" w:hAnsi="黑体" w:eastAsia="黑体" w:cs="黑体"/>
          <w:sz w:val="36"/>
          <w:szCs w:val="36"/>
          <w:highlight w:val="none"/>
        </w:rPr>
        <w:t>《</w:t>
      </w:r>
      <w:bookmarkStart w:id="0" w:name="OLE_LINK22"/>
      <w:bookmarkStart w:id="1" w:name="OLE_LINK21"/>
      <w:r>
        <w:rPr>
          <w:rFonts w:hint="eastAsia" w:ascii="黑体" w:hAnsi="黑体" w:eastAsia="黑体" w:cs="黑体"/>
          <w:sz w:val="36"/>
          <w:szCs w:val="36"/>
          <w:highlight w:val="none"/>
        </w:rPr>
        <w:t>天然生胶 技术分级橡胶（TSR）凝胶含量的测定</w:t>
      </w:r>
      <w:bookmarkEnd w:id="0"/>
      <w:bookmarkEnd w:id="1"/>
      <w:r>
        <w:rPr>
          <w:rFonts w:hint="eastAsia" w:ascii="黑体" w:hAnsi="黑体" w:eastAsia="黑体" w:cs="黑体"/>
          <w:sz w:val="36"/>
          <w:szCs w:val="36"/>
          <w:highlight w:val="none"/>
        </w:rPr>
        <w:t>》</w:t>
      </w:r>
    </w:p>
    <w:p w14:paraId="2DC236B2">
      <w:pPr>
        <w:jc w:val="center"/>
        <w:rPr>
          <w:rFonts w:ascii="黑体" w:hAnsi="黑体" w:eastAsia="黑体" w:cs="黑体"/>
          <w:sz w:val="36"/>
          <w:szCs w:val="36"/>
          <w:highlight w:val="none"/>
        </w:rPr>
      </w:pPr>
      <w:r>
        <w:rPr>
          <w:rFonts w:hint="eastAsia" w:ascii="黑体" w:hAnsi="黑体" w:eastAsia="黑体" w:cs="黑体"/>
          <w:sz w:val="36"/>
          <w:szCs w:val="36"/>
          <w:highlight w:val="none"/>
        </w:rPr>
        <w:t>修订工作组</w:t>
      </w:r>
    </w:p>
    <w:p w14:paraId="5C8A716E">
      <w:pPr>
        <w:spacing w:line="820" w:lineRule="exact"/>
        <w:jc w:val="center"/>
        <w:rPr>
          <w:rFonts w:eastAsia="黑体"/>
          <w:sz w:val="36"/>
          <w:szCs w:val="36"/>
          <w:highlight w:val="none"/>
        </w:rPr>
      </w:pPr>
      <w:r>
        <w:rPr>
          <w:rFonts w:hint="eastAsia" w:ascii="黑体" w:hAnsi="黑体" w:eastAsia="黑体" w:cs="黑体"/>
          <w:sz w:val="36"/>
          <w:szCs w:val="36"/>
          <w:highlight w:val="none"/>
        </w:rPr>
        <w:t>2025年8月</w:t>
      </w:r>
      <w:r>
        <w:rPr>
          <w:rFonts w:eastAsia="黑体"/>
          <w:sz w:val="36"/>
          <w:szCs w:val="36"/>
          <w:highlight w:val="none"/>
        </w:rPr>
        <w:br w:type="page"/>
      </w:r>
    </w:p>
    <w:p w14:paraId="75468C66">
      <w:pPr>
        <w:adjustRightInd w:val="0"/>
        <w:snapToGrid w:val="0"/>
        <w:jc w:val="left"/>
        <w:rPr>
          <w:rFonts w:eastAsia="黑体"/>
          <w:bCs/>
          <w:kern w:val="44"/>
          <w:sz w:val="32"/>
          <w:highlight w:val="none"/>
        </w:rPr>
        <w:sectPr>
          <w:footerReference r:id="rId3" w:type="default"/>
          <w:pgSz w:w="11906" w:h="16838"/>
          <w:pgMar w:top="1474" w:right="1474" w:bottom="1474" w:left="1474" w:header="851" w:footer="992" w:gutter="0"/>
          <w:pgNumType w:start="0"/>
          <w:cols w:space="720" w:num="1"/>
          <w:titlePg/>
          <w:docGrid w:type="lines" w:linePitch="312" w:charSpace="0"/>
        </w:sectPr>
      </w:pPr>
    </w:p>
    <w:p w14:paraId="4021F76A">
      <w:pPr>
        <w:spacing w:line="360" w:lineRule="auto"/>
        <w:jc w:val="center"/>
        <w:rPr>
          <w:b/>
          <w:sz w:val="32"/>
          <w:szCs w:val="32"/>
          <w:highlight w:val="none"/>
        </w:rPr>
      </w:pPr>
      <w:r>
        <w:rPr>
          <w:b/>
          <w:sz w:val="32"/>
          <w:szCs w:val="32"/>
          <w:highlight w:val="none"/>
        </w:rPr>
        <w:t xml:space="preserve">GB/T </w:t>
      </w:r>
      <w:r>
        <w:rPr>
          <w:rFonts w:hint="eastAsia"/>
          <w:b/>
          <w:sz w:val="32"/>
          <w:szCs w:val="32"/>
          <w:highlight w:val="none"/>
        </w:rPr>
        <w:t>37498</w:t>
      </w:r>
      <w:r>
        <w:rPr>
          <w:b/>
          <w:sz w:val="32"/>
          <w:szCs w:val="32"/>
          <w:highlight w:val="none"/>
        </w:rPr>
        <w:t>-</w:t>
      </w:r>
      <w:r>
        <w:rPr>
          <w:rFonts w:hint="eastAsia"/>
          <w:b/>
          <w:sz w:val="32"/>
          <w:szCs w:val="32"/>
          <w:highlight w:val="none"/>
        </w:rPr>
        <w:t>XXX</w:t>
      </w:r>
      <w:r>
        <w:rPr>
          <w:b/>
          <w:sz w:val="32"/>
          <w:szCs w:val="32"/>
          <w:highlight w:val="none"/>
        </w:rPr>
        <w:t>X</w:t>
      </w:r>
      <w:r>
        <w:rPr>
          <w:rFonts w:hint="eastAsia" w:hAnsi="宋体"/>
          <w:b/>
          <w:sz w:val="32"/>
          <w:szCs w:val="32"/>
          <w:highlight w:val="none"/>
        </w:rPr>
        <w:t>《</w:t>
      </w:r>
      <w:bookmarkStart w:id="2" w:name="OLE_LINK23"/>
      <w:r>
        <w:rPr>
          <w:rFonts w:hint="eastAsia" w:hAnsi="宋体"/>
          <w:b/>
          <w:sz w:val="32"/>
          <w:szCs w:val="32"/>
          <w:highlight w:val="none"/>
        </w:rPr>
        <w:t>天然生胶 技术分级橡胶（TSR）凝胶含量的测定</w:t>
      </w:r>
      <w:bookmarkEnd w:id="2"/>
      <w:r>
        <w:rPr>
          <w:rFonts w:hint="eastAsia" w:hAnsi="宋体"/>
          <w:b/>
          <w:sz w:val="32"/>
          <w:szCs w:val="32"/>
          <w:highlight w:val="none"/>
        </w:rPr>
        <w:t>》</w:t>
      </w:r>
      <w:r>
        <w:rPr>
          <w:rFonts w:hint="eastAsia" w:ascii="黑体" w:hAnsi="黑体" w:eastAsia="黑体" w:cs="黑体"/>
          <w:bCs/>
          <w:kern w:val="44"/>
          <w:sz w:val="32"/>
          <w:szCs w:val="32"/>
          <w:highlight w:val="none"/>
        </w:rPr>
        <w:t>（征求意见稿）</w:t>
      </w:r>
      <w:r>
        <w:rPr>
          <w:rFonts w:hint="eastAsia" w:hAnsi="宋体"/>
          <w:b/>
          <w:sz w:val="32"/>
          <w:szCs w:val="32"/>
          <w:highlight w:val="none"/>
        </w:rPr>
        <w:t>编制说明</w:t>
      </w:r>
    </w:p>
    <w:p w14:paraId="078D1026">
      <w:pPr>
        <w:spacing w:line="360" w:lineRule="auto"/>
        <w:jc w:val="center"/>
        <w:rPr>
          <w:b/>
          <w:sz w:val="32"/>
          <w:szCs w:val="32"/>
          <w:highlight w:val="none"/>
        </w:rPr>
      </w:pPr>
    </w:p>
    <w:p w14:paraId="3CD1C75C">
      <w:pPr>
        <w:spacing w:line="360" w:lineRule="auto"/>
        <w:rPr>
          <w:rFonts w:eastAsia="黑体"/>
          <w:sz w:val="24"/>
          <w:highlight w:val="none"/>
        </w:rPr>
      </w:pPr>
      <w:r>
        <w:rPr>
          <w:rFonts w:eastAsia="黑体"/>
          <w:sz w:val="24"/>
          <w:highlight w:val="none"/>
        </w:rPr>
        <w:t xml:space="preserve">1 </w:t>
      </w:r>
      <w:r>
        <w:rPr>
          <w:rFonts w:hint="eastAsia" w:eastAsia="黑体"/>
          <w:sz w:val="24"/>
          <w:highlight w:val="none"/>
        </w:rPr>
        <w:t>工作</w:t>
      </w:r>
      <w:r>
        <w:rPr>
          <w:rFonts w:hint="eastAsia" w:hAnsi="黑体" w:eastAsia="黑体"/>
          <w:sz w:val="24"/>
          <w:highlight w:val="none"/>
        </w:rPr>
        <w:t>简况</w:t>
      </w:r>
    </w:p>
    <w:p w14:paraId="7EC8A8C7">
      <w:pPr>
        <w:spacing w:line="360" w:lineRule="auto"/>
        <w:rPr>
          <w:rFonts w:eastAsia="黑体"/>
          <w:bCs/>
          <w:sz w:val="24"/>
          <w:highlight w:val="none"/>
        </w:rPr>
      </w:pPr>
      <w:r>
        <w:rPr>
          <w:rFonts w:eastAsia="黑体"/>
          <w:bCs/>
          <w:sz w:val="24"/>
          <w:highlight w:val="none"/>
        </w:rPr>
        <w:t xml:space="preserve">1.1 </w:t>
      </w:r>
      <w:r>
        <w:rPr>
          <w:rFonts w:hint="eastAsia" w:hAnsi="黑体" w:eastAsia="黑体"/>
          <w:bCs/>
          <w:sz w:val="24"/>
          <w:highlight w:val="none"/>
        </w:rPr>
        <w:t>任务来源</w:t>
      </w:r>
    </w:p>
    <w:p w14:paraId="32B198BB">
      <w:pPr>
        <w:spacing w:line="360" w:lineRule="auto"/>
        <w:ind w:firstLine="480" w:firstLineChars="200"/>
        <w:rPr>
          <w:sz w:val="24"/>
          <w:highlight w:val="none"/>
        </w:rPr>
      </w:pPr>
      <w:r>
        <w:rPr>
          <w:sz w:val="24"/>
          <w:highlight w:val="none"/>
        </w:rPr>
        <w:t>根据《国家标准化管理委员会关于下达2024年第九批推荐性国家标准计划及相关标准外文版计划的通知》（国标委发〔2024〕53号），国家标准修订项目《</w:t>
      </w:r>
      <w:bookmarkStart w:id="3" w:name="OLE_LINK25"/>
      <w:bookmarkStart w:id="4" w:name="OLE_LINK24"/>
      <w:r>
        <w:rPr>
          <w:sz w:val="24"/>
          <w:highlight w:val="none"/>
        </w:rPr>
        <w:t>天然生胶 技术分级橡胶（TSR）凝胶含量的测定</w:t>
      </w:r>
      <w:bookmarkEnd w:id="3"/>
      <w:bookmarkEnd w:id="4"/>
      <w:r>
        <w:rPr>
          <w:sz w:val="24"/>
          <w:highlight w:val="none"/>
        </w:rPr>
        <w:t>》（</w:t>
      </w:r>
      <w:r>
        <w:rPr>
          <w:rFonts w:hint="eastAsia"/>
          <w:sz w:val="24"/>
          <w:highlight w:val="none"/>
        </w:rPr>
        <w:t>计划号</w:t>
      </w:r>
      <w:r>
        <w:rPr>
          <w:sz w:val="24"/>
          <w:highlight w:val="none"/>
        </w:rPr>
        <w:t>20243476-T-606），</w:t>
      </w:r>
      <w:r>
        <w:rPr>
          <w:rFonts w:hint="eastAsia"/>
          <w:sz w:val="24"/>
          <w:highlight w:val="none"/>
        </w:rPr>
        <w:t>拟修改采用</w:t>
      </w:r>
      <w:r>
        <w:rPr>
          <w:color w:val="000000" w:themeColor="text1"/>
          <w:sz w:val="24"/>
          <w:highlight w:val="none"/>
          <w14:textFill>
            <w14:solidFill>
              <w14:schemeClr w14:val="tx1"/>
            </w14:solidFill>
          </w14:textFill>
        </w:rPr>
        <w:t>ISO 17278:2020</w:t>
      </w:r>
      <w:r>
        <w:rPr>
          <w:rFonts w:hint="eastAsia"/>
          <w:sz w:val="24"/>
          <w:highlight w:val="none"/>
        </w:rPr>
        <w:t>修订</w:t>
      </w:r>
      <w:r>
        <w:rPr>
          <w:sz w:val="24"/>
          <w:highlight w:val="none"/>
        </w:rPr>
        <w:t>GB/T 37498—2019</w:t>
      </w:r>
      <w:r>
        <w:rPr>
          <w:rFonts w:hint="eastAsia"/>
          <w:sz w:val="24"/>
          <w:highlight w:val="none"/>
        </w:rPr>
        <w:t>，项目周期为</w:t>
      </w:r>
      <w:r>
        <w:rPr>
          <w:sz w:val="24"/>
          <w:highlight w:val="none"/>
        </w:rPr>
        <w:t>16</w:t>
      </w:r>
      <w:r>
        <w:rPr>
          <w:rFonts w:hint="eastAsia"/>
          <w:sz w:val="24"/>
          <w:highlight w:val="none"/>
        </w:rPr>
        <w:t>个月，应报批日期为</w:t>
      </w:r>
      <w:r>
        <w:rPr>
          <w:sz w:val="24"/>
          <w:highlight w:val="none"/>
        </w:rPr>
        <w:t>202</w:t>
      </w:r>
      <w:r>
        <w:rPr>
          <w:rFonts w:hint="eastAsia"/>
          <w:sz w:val="24"/>
          <w:highlight w:val="none"/>
        </w:rPr>
        <w:t>6年</w:t>
      </w:r>
      <w:r>
        <w:rPr>
          <w:sz w:val="24"/>
          <w:highlight w:val="none"/>
        </w:rPr>
        <w:t>4</w:t>
      </w:r>
      <w:r>
        <w:rPr>
          <w:rFonts w:hint="eastAsia"/>
          <w:sz w:val="24"/>
          <w:highlight w:val="none"/>
        </w:rPr>
        <w:t>月3日。本项目</w:t>
      </w:r>
      <w:r>
        <w:rPr>
          <w:sz w:val="24"/>
          <w:highlight w:val="none"/>
        </w:rPr>
        <w:t>由中国石油和化学工业联合会提出，</w:t>
      </w:r>
      <w:r>
        <w:rPr>
          <w:rFonts w:hint="eastAsia"/>
          <w:sz w:val="24"/>
          <w:highlight w:val="none"/>
        </w:rPr>
        <w:t>全国橡胶与橡胶制品标准化技术委员会（</w:t>
      </w:r>
      <w:r>
        <w:rPr>
          <w:sz w:val="24"/>
          <w:highlight w:val="none"/>
        </w:rPr>
        <w:t>SAC/TC 35</w:t>
      </w:r>
      <w:r>
        <w:rPr>
          <w:rFonts w:hint="eastAsia"/>
          <w:sz w:val="24"/>
          <w:highlight w:val="none"/>
        </w:rPr>
        <w:t>）（全国橡标委）归口，全国橡标委天然橡胶分会执行，</w:t>
      </w:r>
      <w:r>
        <w:rPr>
          <w:sz w:val="24"/>
          <w:highlight w:val="none"/>
        </w:rPr>
        <w:t>中国热带农业科学院农产品加工研究所负责起草。</w:t>
      </w:r>
    </w:p>
    <w:p w14:paraId="41259A3F">
      <w:pPr>
        <w:spacing w:line="360" w:lineRule="auto"/>
        <w:rPr>
          <w:rFonts w:eastAsia="黑体"/>
          <w:bCs/>
          <w:sz w:val="24"/>
          <w:highlight w:val="none"/>
        </w:rPr>
      </w:pPr>
      <w:r>
        <w:rPr>
          <w:rFonts w:eastAsia="黑体"/>
          <w:bCs/>
          <w:sz w:val="24"/>
          <w:highlight w:val="none"/>
        </w:rPr>
        <w:t>1.2修订背景</w:t>
      </w:r>
    </w:p>
    <w:p w14:paraId="7D110B11">
      <w:pPr>
        <w:pStyle w:val="5"/>
        <w:spacing w:line="360" w:lineRule="auto"/>
        <w:ind w:left="0" w:leftChars="0" w:firstLine="480" w:firstLineChars="200"/>
        <w:rPr>
          <w:sz w:val="24"/>
          <w:highlight w:val="none"/>
        </w:rPr>
      </w:pPr>
      <w:r>
        <w:rPr>
          <w:sz w:val="24"/>
          <w:highlight w:val="none"/>
        </w:rPr>
        <w:t>天然橡胶作为重要的战略物资和工业原料，广泛应用于国防工业、航空航天、工农业生产以及医疗卫生等诸多领域。通常，刚从橡胶树采集的新鲜天然胶乳中，橡胶烃分子链几乎未发生交联反应，基本不含凝胶成分。然而，在将新鲜胶乳加工成天然生胶的初加工过程，以及后续的贮存与运输环节中，天然橡胶分子链之间不可避免地会发生一定程度的交联反应，导致凝胶的形成。这种凝胶显著影响天然橡胶的整体质量，并对下游橡胶制品的生产工艺控制带来挑战。</w:t>
      </w:r>
    </w:p>
    <w:p w14:paraId="4838AB38">
      <w:pPr>
        <w:pStyle w:val="5"/>
        <w:spacing w:line="360" w:lineRule="auto"/>
        <w:ind w:left="0" w:leftChars="0" w:firstLine="480" w:firstLineChars="200"/>
        <w:rPr>
          <w:sz w:val="24"/>
          <w:highlight w:val="none"/>
        </w:rPr>
      </w:pPr>
      <w:r>
        <w:rPr>
          <w:sz w:val="24"/>
          <w:highlight w:val="none"/>
        </w:rPr>
        <w:t>凝胶的存在直接关系到天然橡胶的关键技术指标，如门尼粘度、塑性初值（P</w:t>
      </w:r>
      <w:r>
        <w:rPr>
          <w:sz w:val="24"/>
          <w:highlight w:val="none"/>
          <w:vertAlign w:val="subscript"/>
        </w:rPr>
        <w:t>0</w:t>
      </w:r>
      <w:r>
        <w:rPr>
          <w:sz w:val="24"/>
          <w:highlight w:val="none"/>
        </w:rPr>
        <w:t>）和塑性保持率（PRI）等。对下游制品生产而言，凝胶含量会影响生胶在塑炼和混炼过程中的工艺性能，进而影响硫化配合剂在橡胶基体中的分散均匀性、混炼胶的流动性，以及最终制品的力学性能、抗氧老化性能和收缩率等。因此，准确测定天然橡胶中的凝胶含量，对于科学评价其质量并有效指导下游生产工艺具有重要意义。</w:t>
      </w:r>
    </w:p>
    <w:p w14:paraId="1E66608C">
      <w:pPr>
        <w:spacing w:line="360" w:lineRule="auto"/>
        <w:ind w:firstLine="480" w:firstLineChars="200"/>
        <w:rPr>
          <w:color w:val="000000" w:themeColor="text1"/>
          <w:sz w:val="24"/>
          <w:highlight w:val="none"/>
          <w14:textFill>
            <w14:solidFill>
              <w14:schemeClr w14:val="tx1"/>
            </w14:solidFill>
          </w14:textFill>
        </w:rPr>
      </w:pPr>
      <w:r>
        <w:rPr>
          <w:sz w:val="24"/>
          <w:highlight w:val="none"/>
        </w:rPr>
        <w:t>目前，GB/T 8081</w:t>
      </w:r>
      <w:bookmarkStart w:id="5" w:name="OLE_LINK4"/>
      <w:bookmarkStart w:id="6" w:name="OLE_LINK3"/>
      <w:r>
        <w:rPr>
          <w:sz w:val="24"/>
          <w:highlight w:val="none"/>
        </w:rPr>
        <w:t>《天然生胶 技术分级橡胶（TSR）规格导则》将凝胶含量列为一项性能指标</w:t>
      </w:r>
      <w:bookmarkEnd w:id="5"/>
      <w:bookmarkEnd w:id="6"/>
      <w:r>
        <w:rPr>
          <w:sz w:val="24"/>
          <w:highlight w:val="none"/>
        </w:rPr>
        <w:t>，可见其对于天然橡胶质量控制的重要性。2013年，ISO首次发布了ISO 17278:2013《天然生胶 技术分级橡胶（TSR）凝胶含量的测定》，随后于2020年进行了第1次修订。我国于2019年修改采用ISO 17278:2013 制定了GB/T 37498</w:t>
      </w:r>
      <w:bookmarkStart w:id="7" w:name="OLE_LINK50"/>
      <w:bookmarkStart w:id="8" w:name="OLE_LINK49"/>
      <w:r>
        <w:rPr>
          <w:sz w:val="24"/>
          <w:highlight w:val="none"/>
        </w:rPr>
        <w:t>—</w:t>
      </w:r>
      <w:bookmarkEnd w:id="7"/>
      <w:bookmarkEnd w:id="8"/>
      <w:r>
        <w:rPr>
          <w:sz w:val="24"/>
          <w:highlight w:val="none"/>
        </w:rPr>
        <w:t>2019《天然生胶 技术分级橡胶（TSR）凝胶含量的测定》。</w:t>
      </w:r>
      <w:r>
        <w:rPr>
          <w:color w:val="000000" w:themeColor="text1"/>
          <w:sz w:val="24"/>
          <w:highlight w:val="none"/>
          <w14:textFill>
            <w14:solidFill>
              <w14:schemeClr w14:val="tx1"/>
            </w14:solidFill>
          </w14:textFill>
        </w:rPr>
        <w:t>ISO 17278:2020与SO 17278:2013相比，技术要求产生变化有：（1）第4章中的术语“LoV-TSR样品”改为“TSR样品”；（2）在8.1中，“双样品”改为“两个试验样本”；（3）在“试剂”中</w:t>
      </w:r>
      <w:r>
        <w:rPr>
          <w:rFonts w:hint="eastAsia"/>
          <w:color w:val="000000" w:themeColor="text1"/>
          <w:sz w:val="24"/>
          <w:highlight w:val="none"/>
          <w14:textFill>
            <w14:solidFill>
              <w14:schemeClr w14:val="tx1"/>
            </w14:solidFill>
          </w14:textFill>
        </w:rPr>
        <w:t>增加了丙酮的规定</w:t>
      </w:r>
      <w:r>
        <w:rPr>
          <w:color w:val="000000" w:themeColor="text1"/>
          <w:sz w:val="24"/>
          <w:highlight w:val="none"/>
          <w14:textFill>
            <w14:solidFill>
              <w14:schemeClr w14:val="tx1"/>
            </w14:solidFill>
          </w14:textFill>
        </w:rPr>
        <w:t>。虽然这些技术要求在GB/T 37498</w:t>
      </w:r>
      <w:r>
        <w:rPr>
          <w:sz w:val="24"/>
          <w:highlight w:val="none"/>
        </w:rPr>
        <w:t>—</w:t>
      </w:r>
      <w:r>
        <w:rPr>
          <w:color w:val="000000" w:themeColor="text1"/>
          <w:sz w:val="24"/>
          <w:highlight w:val="none"/>
          <w14:textFill>
            <w14:solidFill>
              <w14:schemeClr w14:val="tx1"/>
            </w14:solidFill>
          </w14:textFill>
        </w:rPr>
        <w:t>2019中已规定，但由于 GB/T 37498</w:t>
      </w:r>
      <w:r>
        <w:rPr>
          <w:sz w:val="24"/>
          <w:highlight w:val="none"/>
        </w:rPr>
        <w:t>—</w:t>
      </w:r>
      <w:r>
        <w:rPr>
          <w:color w:val="000000" w:themeColor="text1"/>
          <w:sz w:val="24"/>
          <w:highlight w:val="none"/>
          <w14:textFill>
            <w14:solidFill>
              <w14:schemeClr w14:val="tx1"/>
            </w14:solidFill>
          </w14:textFill>
        </w:rPr>
        <w:t>2019附录A中引用的</w:t>
      </w:r>
      <w:bookmarkStart w:id="9" w:name="OLE_LINK19"/>
      <w:bookmarkStart w:id="10" w:name="OLE_LINK18"/>
      <w:bookmarkStart w:id="11" w:name="OLE_LINK36"/>
      <w:r>
        <w:rPr>
          <w:color w:val="000000" w:themeColor="text1"/>
          <w:sz w:val="24"/>
          <w:highlight w:val="none"/>
          <w14:textFill>
            <w14:solidFill>
              <w14:schemeClr w14:val="tx1"/>
            </w14:solidFill>
          </w14:textFill>
        </w:rPr>
        <w:t>ISO/TR 9272</w:t>
      </w:r>
      <w:bookmarkEnd w:id="9"/>
      <w:bookmarkEnd w:id="10"/>
      <w:bookmarkEnd w:id="11"/>
      <w:r>
        <w:rPr>
          <w:color w:val="000000" w:themeColor="text1"/>
          <w:sz w:val="24"/>
          <w:highlight w:val="none"/>
          <w14:textFill>
            <w14:solidFill>
              <w14:schemeClr w14:val="tx1"/>
            </w14:solidFill>
          </w14:textFill>
        </w:rPr>
        <w:t>《橡胶与橡胶制品 试验方法标准 精密度的确定》已废止，并被ISO 19983《橡胶 试验方法精密度的确定》代替，且新版本的</w:t>
      </w:r>
      <w:bookmarkStart w:id="12" w:name="OLE_LINK35"/>
      <w:bookmarkStart w:id="13" w:name="OLE_LINK26"/>
      <w:bookmarkStart w:id="14" w:name="OLE_LINK27"/>
      <w:r>
        <w:rPr>
          <w:color w:val="000000" w:themeColor="text1"/>
          <w:sz w:val="24"/>
          <w:highlight w:val="none"/>
          <w14:textFill>
            <w14:solidFill>
              <w14:schemeClr w14:val="tx1"/>
            </w14:solidFill>
          </w14:textFill>
        </w:rPr>
        <w:t>ISO 17278:2020</w:t>
      </w:r>
      <w:bookmarkEnd w:id="12"/>
      <w:bookmarkEnd w:id="13"/>
      <w:bookmarkEnd w:id="14"/>
      <w:r>
        <w:rPr>
          <w:color w:val="000000" w:themeColor="text1"/>
          <w:sz w:val="24"/>
          <w:highlight w:val="none"/>
          <w14:textFill>
            <w14:solidFill>
              <w14:schemeClr w14:val="tx1"/>
            </w14:solidFill>
          </w14:textFill>
        </w:rPr>
        <w:t xml:space="preserve">并未更新精密度，应按照ISO 19983的规定重新组织实验室间试验，以确定新的精密度。因此，修订工作组经过调研和讨论，确定本次修改采用国际标准ISO </w:t>
      </w:r>
      <w:bookmarkStart w:id="15" w:name="OLE_LINK30"/>
      <w:bookmarkStart w:id="16" w:name="OLE_LINK31"/>
      <w:r>
        <w:rPr>
          <w:color w:val="000000" w:themeColor="text1"/>
          <w:sz w:val="24"/>
          <w:highlight w:val="none"/>
          <w14:textFill>
            <w14:solidFill>
              <w14:schemeClr w14:val="tx1"/>
            </w14:solidFill>
          </w14:textFill>
        </w:rPr>
        <w:t>17278:2020</w:t>
      </w:r>
      <w:bookmarkEnd w:id="15"/>
      <w:bookmarkEnd w:id="16"/>
      <w:r>
        <w:rPr>
          <w:color w:val="000000" w:themeColor="text1"/>
          <w:sz w:val="24"/>
          <w:highlight w:val="none"/>
          <w14:textFill>
            <w14:solidFill>
              <w14:schemeClr w14:val="tx1"/>
            </w14:solidFill>
          </w14:textFill>
        </w:rPr>
        <w:t>对</w:t>
      </w:r>
      <w:bookmarkStart w:id="17" w:name="OLE_LINK32"/>
      <w:r>
        <w:rPr>
          <w:color w:val="000000" w:themeColor="text1"/>
          <w:sz w:val="24"/>
          <w:highlight w:val="none"/>
          <w14:textFill>
            <w14:solidFill>
              <w14:schemeClr w14:val="tx1"/>
            </w14:solidFill>
          </w14:textFill>
        </w:rPr>
        <w:t>GB/T 37498—2019</w:t>
      </w:r>
      <w:bookmarkEnd w:id="17"/>
      <w:r>
        <w:rPr>
          <w:color w:val="000000" w:themeColor="text1"/>
          <w:sz w:val="24"/>
          <w:highlight w:val="none"/>
          <w14:textFill>
            <w14:solidFill>
              <w14:schemeClr w14:val="tx1"/>
            </w14:solidFill>
          </w14:textFill>
        </w:rPr>
        <w:t>进行修订。</w:t>
      </w:r>
    </w:p>
    <w:p w14:paraId="572FFDCE">
      <w:pPr>
        <w:spacing w:line="360" w:lineRule="auto"/>
        <w:ind w:firstLine="480" w:firstLineChars="200"/>
        <w:rPr>
          <w:sz w:val="24"/>
          <w:highlight w:val="none"/>
        </w:rPr>
      </w:pPr>
      <w:r>
        <w:rPr>
          <w:sz w:val="24"/>
          <w:highlight w:val="none"/>
        </w:rPr>
        <w:t>本次修订进一步提升了天然橡胶凝胶含量测定方法的准确性与可靠性，有助于天然</w:t>
      </w:r>
      <w:r>
        <w:rPr>
          <w:rFonts w:hint="eastAsia"/>
          <w:sz w:val="24"/>
          <w:highlight w:val="none"/>
          <w:lang w:eastAsia="zh-CN"/>
        </w:rPr>
        <w:t>橡胶</w:t>
      </w:r>
      <w:bookmarkStart w:id="51" w:name="_GoBack"/>
      <w:bookmarkEnd w:id="51"/>
      <w:r>
        <w:rPr>
          <w:sz w:val="24"/>
          <w:highlight w:val="none"/>
        </w:rPr>
        <w:t>初加工企业更好地控制技术分级橡胶的产品质量，为下游橡胶制品企业提供更为可靠的工艺参考数据。同时，也有利于规范我国技术分级天然橡胶的生产秩序，并加强对进口技术分级天然橡胶的质量监管。</w:t>
      </w:r>
    </w:p>
    <w:p w14:paraId="116D5E6E">
      <w:pPr>
        <w:spacing w:line="360" w:lineRule="auto"/>
        <w:rPr>
          <w:rFonts w:eastAsia="黑体"/>
          <w:bCs/>
          <w:sz w:val="24"/>
          <w:highlight w:val="none"/>
        </w:rPr>
      </w:pPr>
      <w:r>
        <w:rPr>
          <w:rFonts w:eastAsia="黑体"/>
          <w:bCs/>
          <w:sz w:val="24"/>
          <w:highlight w:val="none"/>
        </w:rPr>
        <w:t>1.3 起草过程</w:t>
      </w:r>
    </w:p>
    <w:p w14:paraId="7024A0E6">
      <w:pPr>
        <w:spacing w:line="360" w:lineRule="auto"/>
        <w:ind w:firstLine="480" w:firstLineChars="200"/>
        <w:rPr>
          <w:sz w:val="24"/>
          <w:highlight w:val="none"/>
        </w:rPr>
      </w:pPr>
      <w:r>
        <w:rPr>
          <w:sz w:val="24"/>
          <w:highlight w:val="none"/>
        </w:rPr>
        <w:t>2024年12月，在国家标准修订项目计划下达后，成立了标准修订小组，拟定工作大纲，进行任务分工。</w:t>
      </w:r>
    </w:p>
    <w:p w14:paraId="019D1EBC">
      <w:pPr>
        <w:tabs>
          <w:tab w:val="left" w:pos="6120"/>
        </w:tabs>
        <w:spacing w:line="360" w:lineRule="auto"/>
        <w:rPr>
          <w:sz w:val="24"/>
          <w:highlight w:val="none"/>
        </w:rPr>
      </w:pPr>
      <w:r>
        <w:rPr>
          <w:sz w:val="24"/>
          <w:highlight w:val="none"/>
        </w:rPr>
        <w:t xml:space="preserve">    2024年12月—2025年2月，为了做好采用国际标准</w:t>
      </w:r>
      <w:bookmarkStart w:id="18" w:name="OLE_LINK40"/>
      <w:r>
        <w:rPr>
          <w:color w:val="000000" w:themeColor="text1"/>
          <w:sz w:val="24"/>
          <w:highlight w:val="none"/>
          <w14:textFill>
            <w14:solidFill>
              <w14:schemeClr w14:val="tx1"/>
            </w14:solidFill>
          </w14:textFill>
        </w:rPr>
        <w:t>ISO 17278:2020</w:t>
      </w:r>
      <w:bookmarkEnd w:id="18"/>
      <w:r>
        <w:rPr>
          <w:sz w:val="24"/>
          <w:highlight w:val="none"/>
        </w:rPr>
        <w:t>修订国家标准</w:t>
      </w:r>
      <w:r>
        <w:rPr>
          <w:color w:val="000000" w:themeColor="text1"/>
          <w:sz w:val="24"/>
          <w:highlight w:val="none"/>
          <w14:textFill>
            <w14:solidFill>
              <w14:schemeClr w14:val="tx1"/>
            </w14:solidFill>
          </w14:textFill>
        </w:rPr>
        <w:t>GB/T 37498—2019</w:t>
      </w:r>
      <w:r>
        <w:rPr>
          <w:sz w:val="24"/>
          <w:highlight w:val="none"/>
        </w:rPr>
        <w:t>的工作，向一些天然橡胶初加工企业、科研单位和检测机构等标准使用单位，开展了标准使用情况的调查。</w:t>
      </w:r>
    </w:p>
    <w:p w14:paraId="04105C39">
      <w:pPr>
        <w:tabs>
          <w:tab w:val="left" w:pos="6120"/>
        </w:tabs>
        <w:spacing w:line="360" w:lineRule="auto"/>
        <w:ind w:firstLine="480"/>
        <w:rPr>
          <w:sz w:val="24"/>
          <w:highlight w:val="none"/>
        </w:rPr>
      </w:pPr>
      <w:r>
        <w:rPr>
          <w:rFonts w:hint="eastAsia"/>
          <w:color w:val="000000" w:themeColor="text1"/>
          <w:sz w:val="24"/>
          <w:highlight w:val="none"/>
          <w:lang w:eastAsia="zh-CN"/>
          <w14:textFill>
            <w14:solidFill>
              <w14:schemeClr w14:val="tx1"/>
            </w14:solidFill>
          </w14:textFill>
        </w:rPr>
        <w:t>2025年3月至8月，标准修订小组依据调研结果制定了工作方案。ISO 17278:2020与GB/T 37498—2019</w:t>
      </w:r>
      <w:r>
        <w:rPr>
          <w:rFonts w:hint="eastAsia"/>
          <w:sz w:val="24"/>
          <w:highlight w:val="none"/>
          <w:lang w:eastAsia="zh-CN"/>
        </w:rPr>
        <w:t>标准中参考的精密度标准</w:t>
      </w:r>
      <w:r>
        <w:rPr>
          <w:rFonts w:hint="eastAsia"/>
          <w:color w:val="000000" w:themeColor="text1"/>
          <w:sz w:val="24"/>
          <w:highlight w:val="none"/>
          <w:lang w:eastAsia="zh-CN"/>
          <w14:textFill>
            <w14:solidFill>
              <w14:schemeClr w14:val="tx1"/>
            </w14:solidFill>
          </w14:textFill>
        </w:rPr>
        <w:t>ISO/TR 9272</w:t>
      </w:r>
      <w:r>
        <w:rPr>
          <w:rFonts w:hint="eastAsia"/>
          <w:sz w:val="24"/>
          <w:highlight w:val="none"/>
          <w:lang w:eastAsia="zh-CN"/>
        </w:rPr>
        <w:t>已废止，本次修订决定采用现行标准ISO 19983《橡胶 试验方法精密度的确定》的规定，重新确定本标准的精密度。</w:t>
      </w:r>
      <w:r>
        <w:rPr>
          <w:sz w:val="24"/>
          <w:highlight w:val="none"/>
        </w:rPr>
        <w:t>本次修订邀请</w:t>
      </w:r>
      <w:bookmarkStart w:id="19" w:name="OLE_LINK33"/>
      <w:bookmarkStart w:id="20" w:name="OLE_LINK34"/>
      <w:r>
        <w:rPr>
          <w:sz w:val="24"/>
          <w:highlight w:val="none"/>
        </w:rPr>
        <w:t>天然橡胶初加工企业、科研单位和检测机构</w:t>
      </w:r>
      <w:bookmarkEnd w:id="19"/>
      <w:bookmarkEnd w:id="20"/>
      <w:r>
        <w:rPr>
          <w:sz w:val="24"/>
          <w:highlight w:val="none"/>
        </w:rPr>
        <w:t>进行了天然生胶凝胶含量测定结果精密度对比试验。共有</w:t>
      </w:r>
      <w:r>
        <w:rPr>
          <w:rFonts w:hint="eastAsia"/>
          <w:sz w:val="24"/>
          <w:highlight w:val="none"/>
        </w:rPr>
        <w:t>7</w:t>
      </w:r>
      <w:r>
        <w:rPr>
          <w:sz w:val="24"/>
          <w:highlight w:val="none"/>
        </w:rPr>
        <w:t>家机构参与了本标准精密度验证试验（见“3.1试验验证的分析和综述报告”）。在上述工作的基础上，经过综合分析，确定了本标准修订后的征求意见稿。</w:t>
      </w:r>
    </w:p>
    <w:p w14:paraId="56E5F7FA">
      <w:pPr>
        <w:spacing w:line="360" w:lineRule="auto"/>
        <w:rPr>
          <w:rFonts w:eastAsia="黑体"/>
          <w:bCs/>
          <w:sz w:val="24"/>
          <w:highlight w:val="none"/>
        </w:rPr>
      </w:pPr>
      <w:r>
        <w:rPr>
          <w:rFonts w:eastAsia="黑体"/>
          <w:bCs/>
          <w:sz w:val="24"/>
          <w:highlight w:val="none"/>
        </w:rPr>
        <w:t>2国家</w:t>
      </w:r>
      <w:r>
        <w:rPr>
          <w:rFonts w:eastAsia="黑体"/>
          <w:sz w:val="24"/>
          <w:highlight w:val="none"/>
        </w:rPr>
        <w:t>标准编制原则、主要内容及其确定依据</w:t>
      </w:r>
    </w:p>
    <w:p w14:paraId="6AF2C26A">
      <w:pPr>
        <w:spacing w:line="360" w:lineRule="auto"/>
        <w:rPr>
          <w:rFonts w:eastAsia="黑体"/>
          <w:sz w:val="24"/>
          <w:highlight w:val="none"/>
        </w:rPr>
      </w:pPr>
      <w:r>
        <w:rPr>
          <w:rFonts w:eastAsia="黑体"/>
          <w:sz w:val="24"/>
          <w:highlight w:val="none"/>
        </w:rPr>
        <w:t>2.1 编制原则</w:t>
      </w:r>
    </w:p>
    <w:p w14:paraId="125F04E1">
      <w:pPr>
        <w:spacing w:line="360" w:lineRule="auto"/>
        <w:rPr>
          <w:sz w:val="24"/>
          <w:highlight w:val="none"/>
        </w:rPr>
      </w:pPr>
      <w:r>
        <w:rPr>
          <w:rFonts w:eastAsia="黑体"/>
          <w:sz w:val="24"/>
          <w:highlight w:val="none"/>
        </w:rPr>
        <w:t xml:space="preserve">2.1.1 </w:t>
      </w:r>
      <w:r>
        <w:rPr>
          <w:sz w:val="24"/>
          <w:highlight w:val="none"/>
        </w:rPr>
        <w:t>按GB/T 1.1—2020《标准化工作导则第1部分：标准化文件的结构和起草规则》</w:t>
      </w:r>
      <w:r>
        <w:rPr>
          <w:rFonts w:hint="eastAsia"/>
          <w:sz w:val="24"/>
          <w:highlight w:val="none"/>
        </w:rPr>
        <w:t>、</w:t>
      </w:r>
      <w:r>
        <w:rPr>
          <w:sz w:val="24"/>
          <w:highlight w:val="none"/>
        </w:rPr>
        <w:t>GB/T 1.2—2020《标准化工作导则第2部分：以ISO/IEC标准化文件为基础的标准化文件起草规则》</w:t>
      </w:r>
      <w:r>
        <w:rPr>
          <w:rFonts w:hint="eastAsia"/>
          <w:sz w:val="24"/>
          <w:highlight w:val="none"/>
        </w:rPr>
        <w:t>和GB/T 20001.4—2015《标准编写规则 第4部分：试验方法标准》的规定</w:t>
      </w:r>
      <w:r>
        <w:rPr>
          <w:sz w:val="24"/>
          <w:highlight w:val="none"/>
        </w:rPr>
        <w:t>给出的规则编制，使标准在结构、语言表述和编排格式上符合统一的要求。</w:t>
      </w:r>
    </w:p>
    <w:p w14:paraId="37D13BCD">
      <w:pPr>
        <w:spacing w:line="360" w:lineRule="auto"/>
        <w:rPr>
          <w:sz w:val="24"/>
          <w:highlight w:val="none"/>
        </w:rPr>
      </w:pPr>
      <w:r>
        <w:rPr>
          <w:rFonts w:eastAsia="黑体"/>
          <w:sz w:val="24"/>
          <w:highlight w:val="none"/>
        </w:rPr>
        <w:t xml:space="preserve">2.1.2 </w:t>
      </w:r>
      <w:r>
        <w:rPr>
          <w:sz w:val="24"/>
          <w:highlight w:val="none"/>
        </w:rPr>
        <w:t>根据天然橡胶凝胶含量测定的技术要求以及当前技术水平，遵循科学性、合理性、经济性和可操作性的原则，对原标准的技术内容进行修订。</w:t>
      </w:r>
    </w:p>
    <w:p w14:paraId="7C535B50">
      <w:pPr>
        <w:spacing w:line="360" w:lineRule="auto"/>
        <w:rPr>
          <w:sz w:val="24"/>
          <w:highlight w:val="none"/>
        </w:rPr>
      </w:pPr>
      <w:r>
        <w:rPr>
          <w:rFonts w:eastAsia="黑体"/>
          <w:sz w:val="24"/>
          <w:highlight w:val="none"/>
        </w:rPr>
        <w:t xml:space="preserve">2.1.3 </w:t>
      </w:r>
      <w:r>
        <w:rPr>
          <w:sz w:val="24"/>
          <w:highlight w:val="none"/>
        </w:rPr>
        <w:t>在标准的名称、技术要求结构和内容、用语等方面与橡胶和橡胶制品标准体系（特别是天然橡胶系列标准）保持一致。</w:t>
      </w:r>
    </w:p>
    <w:p w14:paraId="6473C0A8">
      <w:pPr>
        <w:spacing w:line="360" w:lineRule="auto"/>
        <w:rPr>
          <w:rFonts w:eastAsia="黑体"/>
          <w:sz w:val="24"/>
          <w:highlight w:val="none"/>
        </w:rPr>
      </w:pPr>
      <w:r>
        <w:rPr>
          <w:sz w:val="24"/>
          <w:highlight w:val="none"/>
        </w:rPr>
        <w:t xml:space="preserve">2.2 </w:t>
      </w:r>
      <w:r>
        <w:rPr>
          <w:rFonts w:eastAsia="黑体"/>
          <w:sz w:val="24"/>
          <w:highlight w:val="none"/>
        </w:rPr>
        <w:t>主要内容及其确定依据</w:t>
      </w:r>
    </w:p>
    <w:p w14:paraId="3504EB58">
      <w:pPr>
        <w:pStyle w:val="22"/>
        <w:numPr>
          <w:ilvl w:val="2"/>
          <w:numId w:val="5"/>
        </w:numPr>
        <w:spacing w:line="360" w:lineRule="auto"/>
        <w:ind w:firstLineChars="0"/>
        <w:rPr>
          <w:rFonts w:eastAsia="黑体"/>
          <w:sz w:val="24"/>
          <w:highlight w:val="none"/>
        </w:rPr>
      </w:pPr>
      <w:r>
        <w:rPr>
          <w:rFonts w:eastAsia="黑体"/>
          <w:sz w:val="24"/>
          <w:highlight w:val="none"/>
        </w:rPr>
        <w:t>主要内容</w:t>
      </w:r>
    </w:p>
    <w:p w14:paraId="295F6635">
      <w:pPr>
        <w:tabs>
          <w:tab w:val="left" w:pos="6120"/>
        </w:tabs>
        <w:spacing w:line="360" w:lineRule="auto"/>
        <w:ind w:firstLine="480"/>
        <w:rPr>
          <w:sz w:val="24"/>
          <w:highlight w:val="none"/>
        </w:rPr>
      </w:pPr>
      <w:r>
        <w:rPr>
          <w:sz w:val="24"/>
          <w:highlight w:val="none"/>
        </w:rPr>
        <w:t>本文件</w:t>
      </w:r>
      <w:r>
        <w:rPr>
          <w:rFonts w:hint="eastAsia"/>
          <w:sz w:val="24"/>
          <w:highlight w:val="none"/>
          <w:lang w:eastAsia="zh-CN"/>
        </w:rPr>
        <w:t>拟</w:t>
      </w:r>
      <w:r>
        <w:rPr>
          <w:sz w:val="24"/>
          <w:highlight w:val="none"/>
        </w:rPr>
        <w:t>修改采用ISO 17278:2020。本文件描述了技术分级橡胶（TSR）凝胶含量的测定方法，主要内容包括范围、规范性引用文件、术语和定义、原理、试剂、仪器、条件、试验步骤、结果表示、精密度、试验报告、附录A（资料性）精密度等。在试验验证的基础上，经过综合分析，确定了上述主要技术内容。</w:t>
      </w:r>
    </w:p>
    <w:p w14:paraId="598B7C8B">
      <w:pPr>
        <w:pStyle w:val="22"/>
        <w:numPr>
          <w:ilvl w:val="2"/>
          <w:numId w:val="5"/>
        </w:numPr>
        <w:spacing w:line="360" w:lineRule="auto"/>
        <w:ind w:firstLineChars="0"/>
        <w:rPr>
          <w:rFonts w:eastAsia="黑体"/>
          <w:sz w:val="24"/>
          <w:highlight w:val="none"/>
        </w:rPr>
      </w:pPr>
      <w:r>
        <w:rPr>
          <w:rFonts w:hint="eastAsia" w:eastAsia="黑体"/>
          <w:sz w:val="24"/>
          <w:highlight w:val="none"/>
        </w:rPr>
        <w:t>修改的技术内容说明</w:t>
      </w:r>
    </w:p>
    <w:p w14:paraId="5C24121F">
      <w:pPr>
        <w:tabs>
          <w:tab w:val="left" w:pos="6120"/>
        </w:tabs>
        <w:spacing w:line="360" w:lineRule="auto"/>
        <w:ind w:firstLine="480"/>
        <w:rPr>
          <w:sz w:val="24"/>
          <w:highlight w:val="none"/>
        </w:rPr>
      </w:pPr>
      <w:r>
        <w:rPr>
          <w:rFonts w:hint="eastAsia"/>
          <w:sz w:val="24"/>
          <w:highlight w:val="none"/>
        </w:rPr>
        <w:t>本文件代替GB/T 37498—2019《天然生胶 技术分级橡胶（TSR）凝胶含量的测定》，与GB/T 37498—2019相比，主要技术变化说明如下：</w:t>
      </w:r>
    </w:p>
    <w:p w14:paraId="11F71B56">
      <w:pPr>
        <w:tabs>
          <w:tab w:val="left" w:pos="6120"/>
        </w:tabs>
        <w:spacing w:line="360" w:lineRule="auto"/>
        <w:ind w:firstLine="480" w:firstLineChars="200"/>
        <w:rPr>
          <w:rFonts w:eastAsia="黑体"/>
          <w:sz w:val="24"/>
          <w:highlight w:val="none"/>
        </w:rPr>
      </w:pPr>
      <w:r>
        <w:rPr>
          <w:rFonts w:eastAsia="黑体"/>
          <w:sz w:val="24"/>
          <w:highlight w:val="none"/>
        </w:rPr>
        <w:t>（1）</w:t>
      </w:r>
      <w:r>
        <w:rPr>
          <w:rFonts w:hint="eastAsia" w:eastAsia="黑体"/>
          <w:sz w:val="24"/>
          <w:highlight w:val="none"/>
        </w:rPr>
        <w:t>更改了规范性引用文件</w:t>
      </w:r>
    </w:p>
    <w:p w14:paraId="6D89E209">
      <w:pPr>
        <w:tabs>
          <w:tab w:val="left" w:pos="6120"/>
        </w:tabs>
        <w:spacing w:line="360" w:lineRule="auto"/>
        <w:ind w:firstLine="480"/>
        <w:rPr>
          <w:sz w:val="24"/>
          <w:highlight w:val="none"/>
        </w:rPr>
      </w:pPr>
      <w:r>
        <w:rPr>
          <w:sz w:val="24"/>
          <w:highlight w:val="none"/>
        </w:rPr>
        <w:t>为了使本文件中的试验步骤与对应引用标准的最新版本保持一致，</w:t>
      </w:r>
      <w:r>
        <w:rPr>
          <w:rFonts w:hint="eastAsia"/>
          <w:sz w:val="24"/>
          <w:highlight w:val="none"/>
        </w:rPr>
        <w:t>将规范性引用的</w:t>
      </w:r>
      <w:r>
        <w:rPr>
          <w:sz w:val="24"/>
          <w:highlight w:val="none"/>
        </w:rPr>
        <w:t>GB/T 8081—2018改为GB/T 8081。</w:t>
      </w:r>
    </w:p>
    <w:p w14:paraId="16D111BC">
      <w:pPr>
        <w:tabs>
          <w:tab w:val="left" w:pos="360"/>
        </w:tabs>
        <w:spacing w:line="360" w:lineRule="auto"/>
        <w:ind w:firstLine="480" w:firstLineChars="200"/>
        <w:rPr>
          <w:rFonts w:eastAsia="黑体"/>
          <w:sz w:val="24"/>
          <w:highlight w:val="none"/>
        </w:rPr>
      </w:pPr>
      <w:r>
        <w:rPr>
          <w:rFonts w:eastAsia="黑体"/>
          <w:sz w:val="24"/>
          <w:highlight w:val="none"/>
        </w:rPr>
        <w:t>（2）关于更改了技术分级橡胶的定义</w:t>
      </w:r>
    </w:p>
    <w:p w14:paraId="5900AB7C">
      <w:pPr>
        <w:tabs>
          <w:tab w:val="left" w:pos="6120"/>
        </w:tabs>
        <w:spacing w:line="360" w:lineRule="auto"/>
        <w:ind w:firstLine="480"/>
        <w:rPr>
          <w:sz w:val="24"/>
          <w:highlight w:val="none"/>
        </w:rPr>
      </w:pPr>
      <w:r>
        <w:rPr>
          <w:sz w:val="24"/>
          <w:highlight w:val="none"/>
        </w:rPr>
        <w:t>为了与GB/T 8081《天然生胶 技术分级橡胶（TSR）规格导则》的术语和定义保持一致，避免标准体系中定义的混乱，将技术分级橡胶的定义与GB/T 8081统一。</w:t>
      </w:r>
    </w:p>
    <w:p w14:paraId="047F0432">
      <w:pPr>
        <w:tabs>
          <w:tab w:val="left" w:pos="6120"/>
        </w:tabs>
        <w:spacing w:line="360" w:lineRule="auto"/>
        <w:ind w:firstLine="480" w:firstLineChars="200"/>
        <w:rPr>
          <w:rFonts w:eastAsia="黑体"/>
          <w:sz w:val="24"/>
          <w:highlight w:val="none"/>
        </w:rPr>
      </w:pPr>
      <w:r>
        <w:rPr>
          <w:rFonts w:eastAsia="黑体"/>
          <w:sz w:val="24"/>
          <w:highlight w:val="none"/>
        </w:rPr>
        <w:t>（3）关于增加试剂的CAS号</w:t>
      </w:r>
    </w:p>
    <w:p w14:paraId="61F7D9BA">
      <w:pPr>
        <w:tabs>
          <w:tab w:val="left" w:pos="6120"/>
        </w:tabs>
        <w:spacing w:line="360" w:lineRule="auto"/>
        <w:ind w:firstLine="480"/>
        <w:rPr>
          <w:sz w:val="24"/>
          <w:highlight w:val="none"/>
        </w:rPr>
      </w:pPr>
      <w:r>
        <w:rPr>
          <w:sz w:val="24"/>
          <w:highlight w:val="none"/>
        </w:rPr>
        <w:t>为了使文件中使用的试剂更加明确规范，增加了化学试剂的CAS号。</w:t>
      </w:r>
    </w:p>
    <w:p w14:paraId="173012C4">
      <w:pPr>
        <w:tabs>
          <w:tab w:val="left" w:pos="360"/>
        </w:tabs>
        <w:spacing w:line="360" w:lineRule="auto"/>
        <w:ind w:firstLine="480" w:firstLineChars="200"/>
        <w:rPr>
          <w:rFonts w:eastAsia="黑体"/>
          <w:sz w:val="24"/>
          <w:highlight w:val="none"/>
        </w:rPr>
      </w:pPr>
      <w:r>
        <w:rPr>
          <w:rFonts w:eastAsia="黑体"/>
          <w:sz w:val="24"/>
          <w:highlight w:val="none"/>
        </w:rPr>
        <w:t>（4）关于更改结果计算公式的说明</w:t>
      </w:r>
    </w:p>
    <w:p w14:paraId="2A4C951D">
      <w:pPr>
        <w:tabs>
          <w:tab w:val="left" w:pos="6120"/>
        </w:tabs>
        <w:spacing w:line="360" w:lineRule="auto"/>
        <w:ind w:firstLine="480"/>
        <w:rPr>
          <w:sz w:val="24"/>
          <w:highlight w:val="none"/>
        </w:rPr>
      </w:pPr>
      <w:r>
        <w:rPr>
          <w:sz w:val="24"/>
          <w:highlight w:val="none"/>
        </w:rPr>
        <w:t>为方便标准使用者对公式的理解，本标准更改了凝胶含量的计算公式，以符合GB/T 20001.4—2015的规定。</w:t>
      </w:r>
    </w:p>
    <w:p w14:paraId="55236A00">
      <w:pPr>
        <w:tabs>
          <w:tab w:val="left" w:pos="6120"/>
        </w:tabs>
        <w:spacing w:line="360" w:lineRule="auto"/>
        <w:ind w:firstLine="480" w:firstLineChars="200"/>
        <w:rPr>
          <w:rFonts w:eastAsia="黑体"/>
          <w:sz w:val="24"/>
          <w:highlight w:val="none"/>
        </w:rPr>
      </w:pPr>
      <w:r>
        <w:rPr>
          <w:rFonts w:eastAsia="黑体"/>
          <w:sz w:val="24"/>
          <w:highlight w:val="none"/>
        </w:rPr>
        <w:t>（5）关于精密度数据的说明</w:t>
      </w:r>
    </w:p>
    <w:p w14:paraId="442D0A28">
      <w:pPr>
        <w:tabs>
          <w:tab w:val="left" w:pos="6120"/>
        </w:tabs>
        <w:spacing w:line="360" w:lineRule="auto"/>
        <w:ind w:left="120" w:leftChars="57" w:firstLine="360" w:firstLineChars="150"/>
        <w:rPr>
          <w:sz w:val="24"/>
          <w:highlight w:val="none"/>
        </w:rPr>
      </w:pPr>
      <w:r>
        <w:rPr>
          <w:sz w:val="24"/>
          <w:highlight w:val="none"/>
        </w:rPr>
        <w:t>因为本标准的现行版本GB/T 37498—2019和新版的ISO国际标准ISO</w:t>
      </w:r>
      <w:r>
        <w:rPr>
          <w:rFonts w:hint="eastAsia"/>
          <w:sz w:val="24"/>
          <w:highlight w:val="none"/>
        </w:rPr>
        <w:t xml:space="preserve"> </w:t>
      </w:r>
      <w:r>
        <w:rPr>
          <w:sz w:val="24"/>
          <w:highlight w:val="none"/>
        </w:rPr>
        <w:t>17278:2020</w:t>
      </w:r>
      <w:r>
        <w:rPr>
          <w:rFonts w:hint="eastAsia"/>
          <w:sz w:val="24"/>
          <w:highlight w:val="none"/>
        </w:rPr>
        <w:t>的精密度数据</w:t>
      </w:r>
      <w:r>
        <w:rPr>
          <w:sz w:val="24"/>
          <w:highlight w:val="none"/>
        </w:rPr>
        <w:t>都是根据ISO/TR 9272的规定确定的，而</w:t>
      </w:r>
      <w:bookmarkStart w:id="21" w:name="_Hlk108076796"/>
      <w:r>
        <w:rPr>
          <w:sz w:val="24"/>
          <w:highlight w:val="none"/>
        </w:rPr>
        <w:t>ISO/TR 9272</w:t>
      </w:r>
      <w:bookmarkEnd w:id="21"/>
      <w:r>
        <w:rPr>
          <w:sz w:val="24"/>
          <w:highlight w:val="none"/>
        </w:rPr>
        <w:t>的最新版本ISO/TR 9272:2005已经废止，并被ISO 19983《橡胶试验方法精密度的确定》代替，因此，工作组通过多次讨论，决定按照现行的ISO 19983《橡胶试验方法精密度的确定》的规定重新确定本标准的精密度。</w:t>
      </w:r>
      <w:bookmarkStart w:id="22" w:name="_Hlk108076987"/>
      <w:r>
        <w:rPr>
          <w:sz w:val="24"/>
          <w:highlight w:val="none"/>
        </w:rPr>
        <w:t>全国橡标委天然橡胶分会秘书处</w:t>
      </w:r>
      <w:bookmarkEnd w:id="22"/>
      <w:r>
        <w:rPr>
          <w:sz w:val="24"/>
          <w:highlight w:val="none"/>
        </w:rPr>
        <w:t>根据ISO 19983的要求，组织制定了本标准的实验室间试验方案（ITP），邀请</w:t>
      </w:r>
      <w:r>
        <w:rPr>
          <w:rFonts w:hint="eastAsia"/>
          <w:sz w:val="24"/>
          <w:highlight w:val="none"/>
        </w:rPr>
        <w:t>7</w:t>
      </w:r>
      <w:r>
        <w:rPr>
          <w:sz w:val="24"/>
          <w:highlight w:val="none"/>
        </w:rPr>
        <w:t>间实验室进行了实验室间比对试验，确定了本标准的精密度。</w:t>
      </w:r>
    </w:p>
    <w:p w14:paraId="7E8C0B18">
      <w:pPr>
        <w:spacing w:line="360" w:lineRule="auto"/>
        <w:rPr>
          <w:rFonts w:eastAsia="黑体"/>
          <w:sz w:val="24"/>
          <w:highlight w:val="none"/>
        </w:rPr>
      </w:pPr>
      <w:r>
        <w:rPr>
          <w:rFonts w:eastAsia="黑体"/>
          <w:sz w:val="24"/>
          <w:highlight w:val="none"/>
        </w:rPr>
        <w:t>3试验验证的分析、综述报告</w:t>
      </w:r>
      <w:bookmarkStart w:id="23" w:name="_Hlk108081063"/>
      <w:r>
        <w:rPr>
          <w:rFonts w:eastAsia="黑体"/>
          <w:sz w:val="24"/>
          <w:highlight w:val="none"/>
        </w:rPr>
        <w:t>、技术经济论证以及预期的经济</w:t>
      </w:r>
      <w:bookmarkEnd w:id="23"/>
      <w:r>
        <w:rPr>
          <w:rFonts w:eastAsia="黑体"/>
          <w:sz w:val="24"/>
          <w:highlight w:val="none"/>
        </w:rPr>
        <w:t>效益、社会效益和生态效益</w:t>
      </w:r>
    </w:p>
    <w:p w14:paraId="50A15874">
      <w:pPr>
        <w:spacing w:line="360" w:lineRule="auto"/>
        <w:rPr>
          <w:rFonts w:eastAsia="黑体"/>
          <w:sz w:val="24"/>
          <w:highlight w:val="none"/>
        </w:rPr>
      </w:pPr>
      <w:r>
        <w:rPr>
          <w:rFonts w:eastAsia="黑体"/>
          <w:sz w:val="24"/>
          <w:highlight w:val="none"/>
        </w:rPr>
        <w:t>3.1试验验证的分析和综述报告</w:t>
      </w:r>
    </w:p>
    <w:p w14:paraId="54FFDFE4">
      <w:pPr>
        <w:tabs>
          <w:tab w:val="left" w:pos="6120"/>
        </w:tabs>
        <w:spacing w:line="360" w:lineRule="auto"/>
        <w:ind w:firstLine="480"/>
        <w:rPr>
          <w:sz w:val="24"/>
          <w:highlight w:val="none"/>
        </w:rPr>
      </w:pPr>
      <w:r>
        <w:rPr>
          <w:sz w:val="24"/>
          <w:highlight w:val="none"/>
        </w:rPr>
        <w:t>2025年7月，</w:t>
      </w:r>
      <w:r>
        <w:rPr>
          <w:rFonts w:hint="eastAsia"/>
          <w:sz w:val="24"/>
          <w:highlight w:val="none"/>
        </w:rPr>
        <w:t>针对本标准的内容，标准起草小组组织开展了验证试验。</w:t>
      </w:r>
      <w:r>
        <w:rPr>
          <w:sz w:val="24"/>
          <w:highlight w:val="none"/>
        </w:rPr>
        <w:t>工作小组制备了3个不同</w:t>
      </w:r>
      <w:r>
        <w:rPr>
          <w:rFonts w:hint="eastAsia"/>
          <w:sz w:val="24"/>
          <w:highlight w:val="none"/>
        </w:rPr>
        <w:t>凝胶含量的</w:t>
      </w:r>
      <w:r>
        <w:rPr>
          <w:sz w:val="24"/>
          <w:highlight w:val="none"/>
        </w:rPr>
        <w:t>天然橡胶样品，在</w:t>
      </w:r>
      <w:r>
        <w:rPr>
          <w:rFonts w:hint="eastAsia"/>
          <w:sz w:val="24"/>
          <w:highlight w:val="none"/>
        </w:rPr>
        <w:t>农业农村部</w:t>
      </w:r>
      <w:r>
        <w:rPr>
          <w:sz w:val="24"/>
          <w:highlight w:val="none"/>
        </w:rPr>
        <w:t>热带作物产品加工重点实验室（</w:t>
      </w:r>
      <w:r>
        <w:rPr>
          <w:rFonts w:hint="eastAsia"/>
          <w:sz w:val="24"/>
          <w:highlight w:val="none"/>
          <w:lang w:eastAsia="zh-CN"/>
        </w:rPr>
        <w:t>实验室</w:t>
      </w:r>
      <w:r>
        <w:rPr>
          <w:rFonts w:hint="eastAsia"/>
          <w:sz w:val="24"/>
          <w:highlight w:val="none"/>
        </w:rPr>
        <w:t>1</w:t>
      </w:r>
      <w:r>
        <w:rPr>
          <w:sz w:val="24"/>
          <w:highlight w:val="none"/>
        </w:rPr>
        <w:t>）、海南省先进天然橡胶复合材料工程研究中心有限公司（</w:t>
      </w:r>
      <w:r>
        <w:rPr>
          <w:rFonts w:hint="eastAsia"/>
          <w:sz w:val="24"/>
          <w:highlight w:val="none"/>
          <w:lang w:eastAsia="zh-CN"/>
        </w:rPr>
        <w:t>实验室</w:t>
      </w:r>
      <w:r>
        <w:rPr>
          <w:rFonts w:hint="eastAsia"/>
          <w:sz w:val="24"/>
          <w:highlight w:val="none"/>
        </w:rPr>
        <w:t>2</w:t>
      </w:r>
      <w:r>
        <w:rPr>
          <w:sz w:val="24"/>
          <w:highlight w:val="none"/>
        </w:rPr>
        <w:t>）、广州海关技术中心（</w:t>
      </w:r>
      <w:r>
        <w:rPr>
          <w:rFonts w:hint="eastAsia"/>
          <w:sz w:val="24"/>
          <w:highlight w:val="none"/>
          <w:lang w:eastAsia="zh-CN"/>
        </w:rPr>
        <w:t>实验室</w:t>
      </w:r>
      <w:r>
        <w:rPr>
          <w:rFonts w:hint="eastAsia"/>
          <w:sz w:val="24"/>
          <w:highlight w:val="none"/>
        </w:rPr>
        <w:t>3</w:t>
      </w:r>
      <w:r>
        <w:rPr>
          <w:sz w:val="24"/>
          <w:highlight w:val="none"/>
        </w:rPr>
        <w:t>）、上海海关（</w:t>
      </w:r>
      <w:r>
        <w:rPr>
          <w:rFonts w:hint="eastAsia"/>
          <w:sz w:val="24"/>
          <w:highlight w:val="none"/>
          <w:lang w:eastAsia="zh-CN"/>
        </w:rPr>
        <w:t>实验室</w:t>
      </w:r>
      <w:r>
        <w:rPr>
          <w:rFonts w:hint="eastAsia"/>
          <w:sz w:val="24"/>
          <w:highlight w:val="none"/>
        </w:rPr>
        <w:t>4</w:t>
      </w:r>
      <w:r>
        <w:rPr>
          <w:sz w:val="24"/>
          <w:highlight w:val="none"/>
        </w:rPr>
        <w:t>）、</w:t>
      </w:r>
      <w:bookmarkStart w:id="24" w:name="OLE_LINK12"/>
      <w:r>
        <w:rPr>
          <w:sz w:val="24"/>
          <w:highlight w:val="none"/>
        </w:rPr>
        <w:t>深圳市美信检测技术股份有限公司</w:t>
      </w:r>
      <w:bookmarkEnd w:id="24"/>
      <w:r>
        <w:rPr>
          <w:sz w:val="24"/>
          <w:highlight w:val="none"/>
        </w:rPr>
        <w:t>（</w:t>
      </w:r>
      <w:r>
        <w:rPr>
          <w:rFonts w:hint="eastAsia"/>
          <w:sz w:val="24"/>
          <w:highlight w:val="none"/>
          <w:lang w:eastAsia="zh-CN"/>
        </w:rPr>
        <w:t>实验室</w:t>
      </w:r>
      <w:r>
        <w:rPr>
          <w:rFonts w:hint="eastAsia"/>
          <w:sz w:val="24"/>
          <w:highlight w:val="none"/>
        </w:rPr>
        <w:t>5</w:t>
      </w:r>
      <w:r>
        <w:rPr>
          <w:sz w:val="24"/>
          <w:highlight w:val="none"/>
        </w:rPr>
        <w:t>）、</w:t>
      </w:r>
      <w:bookmarkStart w:id="25" w:name="OLE_LINK11"/>
      <w:bookmarkStart w:id="26" w:name="OLE_LINK15"/>
      <w:bookmarkStart w:id="27" w:name="OLE_LINK16"/>
      <w:r>
        <w:rPr>
          <w:sz w:val="24"/>
          <w:highlight w:val="none"/>
        </w:rPr>
        <w:t>北京橡胶工业研究设计院有限公司</w:t>
      </w:r>
      <w:bookmarkEnd w:id="25"/>
      <w:bookmarkEnd w:id="26"/>
      <w:bookmarkEnd w:id="27"/>
      <w:r>
        <w:rPr>
          <w:sz w:val="24"/>
          <w:highlight w:val="none"/>
        </w:rPr>
        <w:t>（</w:t>
      </w:r>
      <w:r>
        <w:rPr>
          <w:rFonts w:hint="eastAsia"/>
          <w:sz w:val="24"/>
          <w:highlight w:val="none"/>
          <w:lang w:eastAsia="zh-CN"/>
        </w:rPr>
        <w:t>实验室</w:t>
      </w:r>
      <w:r>
        <w:rPr>
          <w:rFonts w:hint="eastAsia"/>
          <w:sz w:val="24"/>
          <w:highlight w:val="none"/>
        </w:rPr>
        <w:t>6</w:t>
      </w:r>
      <w:r>
        <w:rPr>
          <w:sz w:val="24"/>
          <w:highlight w:val="none"/>
        </w:rPr>
        <w:t>）和农业农村部食品质量监督检验测试中心（</w:t>
      </w:r>
      <w:r>
        <w:rPr>
          <w:rFonts w:hint="eastAsia"/>
          <w:sz w:val="24"/>
          <w:highlight w:val="none"/>
          <w:lang w:eastAsia="zh-CN"/>
        </w:rPr>
        <w:t>实验室</w:t>
      </w:r>
      <w:r>
        <w:rPr>
          <w:rFonts w:hint="eastAsia"/>
          <w:sz w:val="24"/>
          <w:highlight w:val="none"/>
        </w:rPr>
        <w:t>7</w:t>
      </w:r>
      <w:r>
        <w:rPr>
          <w:sz w:val="24"/>
          <w:highlight w:val="none"/>
        </w:rPr>
        <w:t>）</w:t>
      </w:r>
      <w:r>
        <w:rPr>
          <w:rFonts w:hint="eastAsia"/>
          <w:sz w:val="24"/>
          <w:highlight w:val="none"/>
        </w:rPr>
        <w:t>七</w:t>
      </w:r>
      <w:r>
        <w:rPr>
          <w:sz w:val="24"/>
          <w:highlight w:val="none"/>
        </w:rPr>
        <w:t>家单位开展了本次验证试验，其中</w:t>
      </w:r>
      <w:r>
        <w:rPr>
          <w:rFonts w:hint="eastAsia"/>
          <w:sz w:val="24"/>
          <w:highlight w:val="none"/>
        </w:rPr>
        <w:t>实验室5的A样品和实验室6的B样品</w:t>
      </w:r>
      <w:r>
        <w:rPr>
          <w:sz w:val="24"/>
          <w:highlight w:val="none"/>
        </w:rPr>
        <w:t>因仪器问题未提供有效数据。这些实验室将所有样品在两天一组试验的每天进行了三次重复测定。两个试验天相隔一周。样品A、样品B和样品C的ITP结果和补充统计数据见表1～表3。</w:t>
      </w:r>
    </w:p>
    <w:p w14:paraId="2AB67EA1">
      <w:pPr>
        <w:jc w:val="center"/>
        <w:rPr>
          <w:rFonts w:eastAsia="黑体"/>
          <w:highlight w:val="none"/>
        </w:rPr>
      </w:pPr>
      <w:bookmarkStart w:id="28" w:name="OLE_LINK55"/>
      <w:r>
        <w:rPr>
          <w:rFonts w:eastAsia="黑体"/>
          <w:highlight w:val="none"/>
        </w:rPr>
        <w:t>表1样品A的ITP结果和补充统计数据</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1208"/>
        <w:gridCol w:w="684"/>
        <w:gridCol w:w="684"/>
        <w:gridCol w:w="683"/>
        <w:gridCol w:w="1807"/>
        <w:gridCol w:w="1506"/>
        <w:gridCol w:w="1506"/>
      </w:tblGrid>
      <w:tr w14:paraId="0D53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vAlign w:val="center"/>
          </w:tcPr>
          <w:p w14:paraId="325B78BD">
            <w:pPr>
              <w:widowControl/>
              <w:jc w:val="center"/>
              <w:textAlignment w:val="center"/>
              <w:rPr>
                <w:rFonts w:eastAsiaTheme="minorEastAsia"/>
                <w:szCs w:val="21"/>
                <w:highlight w:val="none"/>
              </w:rPr>
            </w:pPr>
            <w:bookmarkStart w:id="29" w:name="_Hlk207355916"/>
            <w:bookmarkStart w:id="30" w:name="OLE_LINK29"/>
            <w:bookmarkStart w:id="31" w:name="OLE_LINK17"/>
            <w:r>
              <w:rPr>
                <w:rFonts w:eastAsia="仿宋"/>
                <w:kern w:val="0"/>
                <w:szCs w:val="21"/>
                <w:highlight w:val="none"/>
              </w:rPr>
              <w:t>实验室p,p=</w:t>
            </w:r>
            <w:r>
              <w:rPr>
                <w:rFonts w:hint="eastAsia" w:eastAsia="仿宋"/>
                <w:kern w:val="0"/>
                <w:szCs w:val="21"/>
                <w:highlight w:val="none"/>
              </w:rPr>
              <w:t>6</w:t>
            </w:r>
          </w:p>
        </w:tc>
        <w:tc>
          <w:tcPr>
            <w:tcW w:w="1208" w:type="dxa"/>
            <w:vMerge w:val="restart"/>
            <w:vAlign w:val="center"/>
          </w:tcPr>
          <w:p w14:paraId="16709752">
            <w:pPr>
              <w:widowControl/>
              <w:jc w:val="center"/>
              <w:textAlignment w:val="center"/>
              <w:rPr>
                <w:rFonts w:eastAsiaTheme="minorEastAsia"/>
                <w:szCs w:val="21"/>
                <w:highlight w:val="none"/>
              </w:rPr>
            </w:pPr>
            <w:r>
              <w:rPr>
                <w:rFonts w:eastAsia="仿宋"/>
                <w:kern w:val="0"/>
                <w:szCs w:val="21"/>
                <w:highlight w:val="none"/>
              </w:rPr>
              <w:t>天q，q=2</w:t>
            </w:r>
          </w:p>
        </w:tc>
        <w:tc>
          <w:tcPr>
            <w:tcW w:w="2051" w:type="dxa"/>
            <w:gridSpan w:val="3"/>
            <w:vAlign w:val="center"/>
          </w:tcPr>
          <w:p w14:paraId="4EC26DBD">
            <w:pPr>
              <w:jc w:val="center"/>
              <w:rPr>
                <w:rFonts w:eastAsiaTheme="minorEastAsia"/>
                <w:szCs w:val="21"/>
                <w:highlight w:val="none"/>
              </w:rPr>
            </w:pPr>
            <w:r>
              <w:rPr>
                <w:rFonts w:eastAsiaTheme="minorEastAsia"/>
                <w:szCs w:val="21"/>
                <w:highlight w:val="none"/>
              </w:rPr>
              <w:t>试验结果</w:t>
            </w:r>
          </w:p>
        </w:tc>
        <w:tc>
          <w:tcPr>
            <w:tcW w:w="1807" w:type="dxa"/>
            <w:vAlign w:val="center"/>
          </w:tcPr>
          <w:p w14:paraId="6B407766">
            <w:pPr>
              <w:jc w:val="center"/>
              <w:rPr>
                <w:rFonts w:eastAsiaTheme="minorEastAsia"/>
                <w:szCs w:val="21"/>
                <w:highlight w:val="none"/>
              </w:rPr>
            </w:pPr>
            <w:r>
              <w:rPr>
                <w:rFonts w:eastAsiaTheme="minorEastAsia"/>
                <w:szCs w:val="21"/>
                <w:highlight w:val="none"/>
              </w:rPr>
              <w:t>平均值</w:t>
            </w:r>
          </w:p>
        </w:tc>
        <w:tc>
          <w:tcPr>
            <w:tcW w:w="1506" w:type="dxa"/>
            <w:vAlign w:val="center"/>
          </w:tcPr>
          <w:p w14:paraId="610ACD38">
            <w:pPr>
              <w:jc w:val="center"/>
              <w:rPr>
                <w:rFonts w:eastAsiaTheme="minorEastAsia"/>
                <w:szCs w:val="21"/>
                <w:highlight w:val="none"/>
              </w:rPr>
            </w:pPr>
            <w:r>
              <w:rPr>
                <w:rFonts w:eastAsiaTheme="minorEastAsia"/>
                <w:szCs w:val="21"/>
                <w:highlight w:val="none"/>
              </w:rPr>
              <w:t>天平均值</w:t>
            </w:r>
          </w:p>
        </w:tc>
        <w:tc>
          <w:tcPr>
            <w:tcW w:w="1506" w:type="dxa"/>
            <w:vAlign w:val="center"/>
          </w:tcPr>
          <w:p w14:paraId="668E07E5">
            <w:pPr>
              <w:jc w:val="center"/>
              <w:rPr>
                <w:rFonts w:eastAsiaTheme="minorEastAsia"/>
                <w:szCs w:val="21"/>
                <w:highlight w:val="none"/>
              </w:rPr>
            </w:pPr>
            <w:r>
              <w:rPr>
                <w:rFonts w:eastAsiaTheme="minorEastAsia"/>
                <w:szCs w:val="21"/>
                <w:highlight w:val="none"/>
              </w:rPr>
              <w:t>天标准差</w:t>
            </w:r>
          </w:p>
        </w:tc>
      </w:tr>
      <w:bookmarkEnd w:id="29"/>
      <w:tr w14:paraId="572C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continue"/>
            <w:vAlign w:val="center"/>
          </w:tcPr>
          <w:p w14:paraId="71361D02">
            <w:pPr>
              <w:jc w:val="center"/>
              <w:rPr>
                <w:rFonts w:eastAsiaTheme="minorEastAsia"/>
                <w:szCs w:val="21"/>
                <w:highlight w:val="none"/>
              </w:rPr>
            </w:pPr>
          </w:p>
        </w:tc>
        <w:tc>
          <w:tcPr>
            <w:tcW w:w="1208" w:type="dxa"/>
            <w:vMerge w:val="continue"/>
            <w:vAlign w:val="center"/>
          </w:tcPr>
          <w:p w14:paraId="5D7A1D52">
            <w:pPr>
              <w:jc w:val="center"/>
              <w:rPr>
                <w:rFonts w:eastAsiaTheme="minorEastAsia"/>
                <w:szCs w:val="21"/>
                <w:highlight w:val="none"/>
              </w:rPr>
            </w:pPr>
          </w:p>
        </w:tc>
        <w:tc>
          <w:tcPr>
            <w:tcW w:w="684" w:type="dxa"/>
            <w:vAlign w:val="center"/>
          </w:tcPr>
          <w:p w14:paraId="19DBA83A">
            <w:pPr>
              <w:jc w:val="center"/>
              <w:rPr>
                <w:rFonts w:eastAsiaTheme="minorEastAsia"/>
                <w:szCs w:val="21"/>
                <w:highlight w:val="none"/>
              </w:rPr>
            </w:pPr>
            <w:r>
              <w:rPr>
                <w:rFonts w:eastAsiaTheme="minorEastAsia"/>
                <w:szCs w:val="21"/>
                <w:highlight w:val="none"/>
              </w:rPr>
              <w:t>M1</w:t>
            </w:r>
          </w:p>
        </w:tc>
        <w:tc>
          <w:tcPr>
            <w:tcW w:w="684" w:type="dxa"/>
            <w:vAlign w:val="center"/>
          </w:tcPr>
          <w:p w14:paraId="3FD96855">
            <w:pPr>
              <w:jc w:val="center"/>
              <w:rPr>
                <w:rFonts w:eastAsiaTheme="minorEastAsia"/>
                <w:szCs w:val="21"/>
                <w:highlight w:val="none"/>
              </w:rPr>
            </w:pPr>
            <w:r>
              <w:rPr>
                <w:rFonts w:eastAsiaTheme="minorEastAsia"/>
                <w:szCs w:val="21"/>
                <w:highlight w:val="none"/>
              </w:rPr>
              <w:t>M2</w:t>
            </w:r>
          </w:p>
        </w:tc>
        <w:tc>
          <w:tcPr>
            <w:tcW w:w="683" w:type="dxa"/>
            <w:vAlign w:val="center"/>
          </w:tcPr>
          <w:p w14:paraId="3CE1A130">
            <w:pPr>
              <w:jc w:val="center"/>
              <w:rPr>
                <w:rFonts w:eastAsiaTheme="minorEastAsia"/>
                <w:szCs w:val="21"/>
                <w:highlight w:val="none"/>
              </w:rPr>
            </w:pPr>
            <w:r>
              <w:rPr>
                <w:rFonts w:eastAsiaTheme="minorEastAsia"/>
                <w:szCs w:val="21"/>
                <w:highlight w:val="none"/>
              </w:rPr>
              <w:t>M3</w:t>
            </w:r>
          </w:p>
        </w:tc>
        <w:tc>
          <w:tcPr>
            <w:tcW w:w="1807" w:type="dxa"/>
            <w:vAlign w:val="center"/>
          </w:tcPr>
          <w:p w14:paraId="55D05ED2">
            <w:pPr>
              <w:jc w:val="center"/>
              <w:rPr>
                <w:rFonts w:eastAsiaTheme="minorEastAsia"/>
                <w:szCs w:val="21"/>
                <w:highlight w:val="none"/>
              </w:rPr>
            </w:pPr>
            <m:oMath>
              <m:bar>
                <m:barPr>
                  <m:pos m:val="top"/>
                  <m:ctrlPr>
                    <w:rPr>
                      <w:rFonts w:ascii="Cambria Math" w:hAnsi="Cambria Math" w:eastAsiaTheme="minorEastAsia"/>
                      <w:szCs w:val="21"/>
                      <w:highlight w:val="none"/>
                    </w:rPr>
                  </m:ctrlPr>
                </m:barPr>
                <m:e>
                  <m:r>
                    <m:rPr/>
                    <w:rPr>
                      <w:rFonts w:ascii="Cambria Math" w:hAnsi="Cambria Math" w:eastAsiaTheme="minorEastAsia"/>
                      <w:szCs w:val="21"/>
                      <w:highlight w:val="none"/>
                    </w:rPr>
                    <m:t>y</m:t>
                  </m:r>
                  <m:ctrlPr>
                    <w:rPr>
                      <w:rFonts w:ascii="Cambria Math" w:hAnsi="Cambria Math" w:eastAsiaTheme="minorEastAsia"/>
                      <w:szCs w:val="21"/>
                      <w:highlight w:val="none"/>
                    </w:rPr>
                  </m:ctrlPr>
                </m:e>
              </m:bar>
            </m:oMath>
            <w:r>
              <w:rPr>
                <w:rFonts w:eastAsiaTheme="minorEastAsia"/>
                <w:szCs w:val="21"/>
                <w:highlight w:val="none"/>
                <w:vertAlign w:val="subscript"/>
              </w:rPr>
              <w:t>ij·</w:t>
            </w:r>
          </w:p>
        </w:tc>
        <w:tc>
          <w:tcPr>
            <w:tcW w:w="1506" w:type="dxa"/>
            <w:vAlign w:val="center"/>
          </w:tcPr>
          <w:p w14:paraId="535A94FC">
            <w:pPr>
              <w:jc w:val="center"/>
              <w:rPr>
                <w:rFonts w:eastAsiaTheme="minorEastAsia"/>
                <w:szCs w:val="21"/>
                <w:highlight w:val="none"/>
              </w:rPr>
            </w:pPr>
            <m:oMath>
              <m:bar>
                <m:barPr>
                  <m:pos m:val="top"/>
                  <m:ctrlPr>
                    <w:rPr>
                      <w:rFonts w:ascii="Cambria Math" w:hAnsi="Cambria Math" w:eastAsiaTheme="minorEastAsia"/>
                      <w:szCs w:val="21"/>
                      <w:highlight w:val="none"/>
                    </w:rPr>
                  </m:ctrlPr>
                </m:barPr>
                <m:e>
                  <m:r>
                    <m:rPr/>
                    <w:rPr>
                      <w:rFonts w:ascii="Cambria Math" w:hAnsi="Cambria Math" w:eastAsiaTheme="minorEastAsia"/>
                      <w:szCs w:val="21"/>
                      <w:highlight w:val="none"/>
                    </w:rPr>
                    <m:t>y</m:t>
                  </m:r>
                  <m:ctrlPr>
                    <w:rPr>
                      <w:rFonts w:ascii="Cambria Math" w:hAnsi="Cambria Math" w:eastAsiaTheme="minorEastAsia"/>
                      <w:szCs w:val="21"/>
                      <w:highlight w:val="none"/>
                    </w:rPr>
                  </m:ctrlPr>
                </m:e>
              </m:bar>
            </m:oMath>
            <w:r>
              <w:rPr>
                <w:rFonts w:eastAsiaTheme="minorEastAsia"/>
                <w:szCs w:val="21"/>
                <w:highlight w:val="none"/>
                <w:vertAlign w:val="subscript"/>
              </w:rPr>
              <w:t>i··</w:t>
            </w:r>
          </w:p>
        </w:tc>
        <w:tc>
          <w:tcPr>
            <w:tcW w:w="1506" w:type="dxa"/>
            <w:vAlign w:val="center"/>
          </w:tcPr>
          <w:p w14:paraId="6437B929">
            <w:pPr>
              <w:jc w:val="center"/>
              <w:rPr>
                <w:rFonts w:eastAsiaTheme="minorEastAsia"/>
                <w:szCs w:val="21"/>
                <w:highlight w:val="none"/>
              </w:rPr>
            </w:pPr>
            <w:r>
              <w:rPr>
                <w:rFonts w:eastAsiaTheme="minorEastAsia"/>
                <w:szCs w:val="21"/>
                <w:highlight w:val="none"/>
              </w:rPr>
              <w:t>s</w:t>
            </w:r>
            <w:r>
              <w:rPr>
                <w:rFonts w:eastAsiaTheme="minorEastAsia"/>
                <w:szCs w:val="21"/>
                <w:highlight w:val="none"/>
                <w:vertAlign w:val="subscript"/>
              </w:rPr>
              <w:t>i</w:t>
            </w:r>
          </w:p>
        </w:tc>
      </w:tr>
      <w:tr w14:paraId="29AB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vAlign w:val="center"/>
          </w:tcPr>
          <w:p w14:paraId="5DD2F382">
            <w:pPr>
              <w:jc w:val="center"/>
              <w:rPr>
                <w:rFonts w:eastAsiaTheme="minorEastAsia"/>
                <w:szCs w:val="21"/>
                <w:highlight w:val="none"/>
              </w:rPr>
            </w:pPr>
            <w:bookmarkStart w:id="32" w:name="_Hlk207353911"/>
            <w:r>
              <w:rPr>
                <w:rFonts w:hint="eastAsia" w:eastAsiaTheme="minorEastAsia"/>
                <w:szCs w:val="21"/>
                <w:highlight w:val="none"/>
              </w:rPr>
              <w:t>1</w:t>
            </w:r>
          </w:p>
        </w:tc>
        <w:tc>
          <w:tcPr>
            <w:tcW w:w="1208" w:type="dxa"/>
            <w:vAlign w:val="center"/>
          </w:tcPr>
          <w:p w14:paraId="1CEF5E27">
            <w:pPr>
              <w:jc w:val="center"/>
              <w:rPr>
                <w:rFonts w:hint="eastAsia" w:eastAsiaTheme="minorEastAsia"/>
                <w:szCs w:val="21"/>
                <w:highlight w:val="none"/>
                <w:lang w:eastAsia="zh-CN"/>
              </w:rPr>
            </w:pPr>
            <w:r>
              <w:rPr>
                <w:rFonts w:hint="eastAsia" w:eastAsiaTheme="minorEastAsia"/>
                <w:szCs w:val="21"/>
                <w:highlight w:val="none"/>
                <w:lang w:val="en-US" w:eastAsia="zh-CN"/>
              </w:rPr>
              <w:t>1</w:t>
            </w:r>
          </w:p>
        </w:tc>
        <w:tc>
          <w:tcPr>
            <w:tcW w:w="684" w:type="dxa"/>
          </w:tcPr>
          <w:p w14:paraId="1CBB9F49">
            <w:pPr>
              <w:jc w:val="center"/>
              <w:rPr>
                <w:rFonts w:eastAsiaTheme="minorEastAsia"/>
                <w:color w:val="000000"/>
                <w:szCs w:val="21"/>
                <w:highlight w:val="none"/>
              </w:rPr>
            </w:pPr>
            <w:r>
              <w:rPr>
                <w:highlight w:val="none"/>
              </w:rPr>
              <w:t>6.4</w:t>
            </w:r>
          </w:p>
        </w:tc>
        <w:tc>
          <w:tcPr>
            <w:tcW w:w="684" w:type="dxa"/>
          </w:tcPr>
          <w:p w14:paraId="08680E78">
            <w:pPr>
              <w:jc w:val="center"/>
              <w:rPr>
                <w:rFonts w:eastAsiaTheme="minorEastAsia"/>
                <w:color w:val="000000"/>
                <w:szCs w:val="21"/>
                <w:highlight w:val="none"/>
              </w:rPr>
            </w:pPr>
            <w:r>
              <w:rPr>
                <w:highlight w:val="none"/>
              </w:rPr>
              <w:t>6.1</w:t>
            </w:r>
          </w:p>
        </w:tc>
        <w:tc>
          <w:tcPr>
            <w:tcW w:w="683" w:type="dxa"/>
          </w:tcPr>
          <w:p w14:paraId="7B2E7B81">
            <w:pPr>
              <w:jc w:val="center"/>
              <w:rPr>
                <w:rFonts w:eastAsiaTheme="minorEastAsia"/>
                <w:color w:val="000000"/>
                <w:szCs w:val="21"/>
                <w:highlight w:val="none"/>
              </w:rPr>
            </w:pPr>
            <w:r>
              <w:rPr>
                <w:highlight w:val="none"/>
              </w:rPr>
              <w:t>6.6</w:t>
            </w:r>
          </w:p>
        </w:tc>
        <w:tc>
          <w:tcPr>
            <w:tcW w:w="1807" w:type="dxa"/>
            <w:vAlign w:val="bottom"/>
          </w:tcPr>
          <w:p w14:paraId="467807E1">
            <w:pPr>
              <w:jc w:val="center"/>
              <w:rPr>
                <w:rFonts w:eastAsiaTheme="minorEastAsia"/>
                <w:color w:val="000000"/>
                <w:szCs w:val="21"/>
                <w:highlight w:val="none"/>
              </w:rPr>
            </w:pPr>
            <w:r>
              <w:rPr>
                <w:rFonts w:hint="eastAsia"/>
                <w:color w:val="000000"/>
                <w:sz w:val="22"/>
                <w:szCs w:val="22"/>
                <w:highlight w:val="none"/>
              </w:rPr>
              <w:t xml:space="preserve">6.37 </w:t>
            </w:r>
          </w:p>
        </w:tc>
        <w:tc>
          <w:tcPr>
            <w:tcW w:w="1506" w:type="dxa"/>
            <w:vMerge w:val="restart"/>
            <w:vAlign w:val="center"/>
          </w:tcPr>
          <w:p w14:paraId="31846115">
            <w:pPr>
              <w:jc w:val="center"/>
              <w:rPr>
                <w:rFonts w:eastAsiaTheme="minorEastAsia"/>
                <w:szCs w:val="21"/>
                <w:highlight w:val="none"/>
              </w:rPr>
            </w:pPr>
            <w:r>
              <w:rPr>
                <w:rFonts w:eastAsiaTheme="minorEastAsia"/>
                <w:szCs w:val="21"/>
                <w:highlight w:val="none"/>
              </w:rPr>
              <w:t>6.23</w:t>
            </w:r>
          </w:p>
        </w:tc>
        <w:tc>
          <w:tcPr>
            <w:tcW w:w="1506" w:type="dxa"/>
            <w:vMerge w:val="restart"/>
            <w:vAlign w:val="center"/>
          </w:tcPr>
          <w:p w14:paraId="451E0108">
            <w:pPr>
              <w:jc w:val="center"/>
              <w:rPr>
                <w:rFonts w:eastAsiaTheme="minorEastAsia"/>
                <w:szCs w:val="21"/>
                <w:highlight w:val="none"/>
              </w:rPr>
            </w:pPr>
            <w:r>
              <w:rPr>
                <w:rFonts w:eastAsiaTheme="minorEastAsia"/>
                <w:szCs w:val="21"/>
                <w:highlight w:val="none"/>
              </w:rPr>
              <w:t>0.19</w:t>
            </w:r>
          </w:p>
        </w:tc>
      </w:tr>
      <w:tr w14:paraId="5F06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continue"/>
            <w:vAlign w:val="center"/>
          </w:tcPr>
          <w:p w14:paraId="56C30B14">
            <w:pPr>
              <w:jc w:val="center"/>
              <w:rPr>
                <w:rFonts w:eastAsiaTheme="minorEastAsia"/>
                <w:szCs w:val="21"/>
                <w:highlight w:val="none"/>
              </w:rPr>
            </w:pPr>
          </w:p>
        </w:tc>
        <w:tc>
          <w:tcPr>
            <w:tcW w:w="1208" w:type="dxa"/>
            <w:vAlign w:val="center"/>
          </w:tcPr>
          <w:p w14:paraId="69C3D2A7">
            <w:pPr>
              <w:jc w:val="center"/>
              <w:rPr>
                <w:rFonts w:hint="eastAsia" w:eastAsiaTheme="minorEastAsia"/>
                <w:szCs w:val="21"/>
                <w:highlight w:val="none"/>
                <w:lang w:eastAsia="zh-CN"/>
              </w:rPr>
            </w:pPr>
            <w:r>
              <w:rPr>
                <w:rFonts w:hint="eastAsia" w:eastAsiaTheme="minorEastAsia"/>
                <w:szCs w:val="21"/>
                <w:highlight w:val="none"/>
                <w:lang w:val="en-US" w:eastAsia="zh-CN"/>
              </w:rPr>
              <w:t>2</w:t>
            </w:r>
          </w:p>
        </w:tc>
        <w:tc>
          <w:tcPr>
            <w:tcW w:w="684" w:type="dxa"/>
          </w:tcPr>
          <w:p w14:paraId="60E50911">
            <w:pPr>
              <w:jc w:val="center"/>
              <w:rPr>
                <w:rFonts w:eastAsiaTheme="minorEastAsia"/>
                <w:color w:val="000000"/>
                <w:szCs w:val="21"/>
                <w:highlight w:val="none"/>
              </w:rPr>
            </w:pPr>
            <w:r>
              <w:rPr>
                <w:highlight w:val="none"/>
              </w:rPr>
              <w:t>6.1</w:t>
            </w:r>
          </w:p>
        </w:tc>
        <w:tc>
          <w:tcPr>
            <w:tcW w:w="684" w:type="dxa"/>
          </w:tcPr>
          <w:p w14:paraId="3F723173">
            <w:pPr>
              <w:jc w:val="center"/>
              <w:rPr>
                <w:rFonts w:eastAsiaTheme="minorEastAsia"/>
                <w:color w:val="000000"/>
                <w:szCs w:val="21"/>
                <w:highlight w:val="none"/>
              </w:rPr>
            </w:pPr>
            <w:r>
              <w:rPr>
                <w:highlight w:val="none"/>
              </w:rPr>
              <w:t>6.1</w:t>
            </w:r>
          </w:p>
        </w:tc>
        <w:tc>
          <w:tcPr>
            <w:tcW w:w="683" w:type="dxa"/>
          </w:tcPr>
          <w:p w14:paraId="11D9899C">
            <w:pPr>
              <w:jc w:val="center"/>
              <w:rPr>
                <w:rFonts w:eastAsiaTheme="minorEastAsia"/>
                <w:color w:val="000000"/>
                <w:szCs w:val="21"/>
                <w:highlight w:val="none"/>
              </w:rPr>
            </w:pPr>
            <w:r>
              <w:rPr>
                <w:highlight w:val="none"/>
              </w:rPr>
              <w:t>6.1</w:t>
            </w:r>
          </w:p>
        </w:tc>
        <w:tc>
          <w:tcPr>
            <w:tcW w:w="1807" w:type="dxa"/>
            <w:vAlign w:val="bottom"/>
          </w:tcPr>
          <w:p w14:paraId="619915E8">
            <w:pPr>
              <w:jc w:val="center"/>
              <w:rPr>
                <w:rFonts w:eastAsiaTheme="minorEastAsia"/>
                <w:color w:val="000000"/>
                <w:szCs w:val="21"/>
                <w:highlight w:val="none"/>
              </w:rPr>
            </w:pPr>
            <w:r>
              <w:rPr>
                <w:rFonts w:hint="eastAsia"/>
                <w:color w:val="000000"/>
                <w:sz w:val="22"/>
                <w:szCs w:val="22"/>
                <w:highlight w:val="none"/>
              </w:rPr>
              <w:t xml:space="preserve">6.10 </w:t>
            </w:r>
          </w:p>
        </w:tc>
        <w:tc>
          <w:tcPr>
            <w:tcW w:w="1506" w:type="dxa"/>
            <w:vMerge w:val="continue"/>
            <w:vAlign w:val="center"/>
          </w:tcPr>
          <w:p w14:paraId="5F63D7AF">
            <w:pPr>
              <w:jc w:val="center"/>
              <w:rPr>
                <w:rFonts w:eastAsiaTheme="minorEastAsia"/>
                <w:szCs w:val="21"/>
                <w:highlight w:val="none"/>
              </w:rPr>
            </w:pPr>
          </w:p>
        </w:tc>
        <w:tc>
          <w:tcPr>
            <w:tcW w:w="1506" w:type="dxa"/>
            <w:vMerge w:val="continue"/>
            <w:vAlign w:val="center"/>
          </w:tcPr>
          <w:p w14:paraId="3597A5B6">
            <w:pPr>
              <w:jc w:val="center"/>
              <w:rPr>
                <w:rFonts w:eastAsiaTheme="minorEastAsia"/>
                <w:szCs w:val="21"/>
                <w:highlight w:val="none"/>
              </w:rPr>
            </w:pPr>
          </w:p>
        </w:tc>
      </w:tr>
      <w:tr w14:paraId="2A637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vAlign w:val="center"/>
          </w:tcPr>
          <w:p w14:paraId="0917E151">
            <w:pPr>
              <w:jc w:val="center"/>
              <w:rPr>
                <w:rFonts w:eastAsiaTheme="minorEastAsia"/>
                <w:szCs w:val="21"/>
                <w:highlight w:val="none"/>
              </w:rPr>
            </w:pPr>
            <w:r>
              <w:rPr>
                <w:rFonts w:hint="eastAsia" w:eastAsiaTheme="minorEastAsia"/>
                <w:szCs w:val="21"/>
                <w:highlight w:val="none"/>
              </w:rPr>
              <w:t>2</w:t>
            </w:r>
          </w:p>
        </w:tc>
        <w:tc>
          <w:tcPr>
            <w:tcW w:w="1208" w:type="dxa"/>
            <w:vAlign w:val="center"/>
          </w:tcPr>
          <w:p w14:paraId="3E0AB127">
            <w:pPr>
              <w:jc w:val="center"/>
              <w:rPr>
                <w:rFonts w:eastAsiaTheme="minorEastAsia"/>
                <w:szCs w:val="21"/>
                <w:highlight w:val="none"/>
              </w:rPr>
            </w:pPr>
            <w:r>
              <w:rPr>
                <w:rFonts w:hint="eastAsia" w:eastAsiaTheme="minorEastAsia"/>
                <w:szCs w:val="21"/>
                <w:highlight w:val="none"/>
                <w:lang w:val="en-US" w:eastAsia="zh-CN"/>
              </w:rPr>
              <w:t>1</w:t>
            </w:r>
          </w:p>
        </w:tc>
        <w:tc>
          <w:tcPr>
            <w:tcW w:w="684" w:type="dxa"/>
          </w:tcPr>
          <w:p w14:paraId="7E2A988A">
            <w:pPr>
              <w:jc w:val="center"/>
              <w:rPr>
                <w:rFonts w:eastAsiaTheme="minorEastAsia"/>
                <w:color w:val="000000"/>
                <w:szCs w:val="21"/>
                <w:highlight w:val="none"/>
              </w:rPr>
            </w:pPr>
            <w:r>
              <w:rPr>
                <w:highlight w:val="none"/>
              </w:rPr>
              <w:t>6.5</w:t>
            </w:r>
          </w:p>
        </w:tc>
        <w:tc>
          <w:tcPr>
            <w:tcW w:w="684" w:type="dxa"/>
          </w:tcPr>
          <w:p w14:paraId="3676297D">
            <w:pPr>
              <w:jc w:val="center"/>
              <w:rPr>
                <w:rFonts w:eastAsiaTheme="minorEastAsia"/>
                <w:color w:val="000000"/>
                <w:szCs w:val="21"/>
                <w:highlight w:val="none"/>
              </w:rPr>
            </w:pPr>
            <w:r>
              <w:rPr>
                <w:highlight w:val="none"/>
              </w:rPr>
              <w:t>7</w:t>
            </w:r>
          </w:p>
        </w:tc>
        <w:tc>
          <w:tcPr>
            <w:tcW w:w="683" w:type="dxa"/>
          </w:tcPr>
          <w:p w14:paraId="221092EB">
            <w:pPr>
              <w:jc w:val="center"/>
              <w:rPr>
                <w:rFonts w:eastAsiaTheme="minorEastAsia"/>
                <w:color w:val="000000"/>
                <w:szCs w:val="21"/>
                <w:highlight w:val="none"/>
              </w:rPr>
            </w:pPr>
            <w:r>
              <w:rPr>
                <w:highlight w:val="none"/>
              </w:rPr>
              <w:t>6.1</w:t>
            </w:r>
          </w:p>
        </w:tc>
        <w:tc>
          <w:tcPr>
            <w:tcW w:w="1807" w:type="dxa"/>
            <w:vAlign w:val="bottom"/>
          </w:tcPr>
          <w:p w14:paraId="4253746D">
            <w:pPr>
              <w:jc w:val="center"/>
              <w:rPr>
                <w:rFonts w:eastAsiaTheme="minorEastAsia"/>
                <w:color w:val="000000"/>
                <w:szCs w:val="21"/>
                <w:highlight w:val="none"/>
              </w:rPr>
            </w:pPr>
            <w:r>
              <w:rPr>
                <w:rFonts w:hint="eastAsia"/>
                <w:color w:val="000000"/>
                <w:sz w:val="22"/>
                <w:szCs w:val="22"/>
                <w:highlight w:val="none"/>
              </w:rPr>
              <w:t xml:space="preserve">6.53 </w:t>
            </w:r>
          </w:p>
        </w:tc>
        <w:tc>
          <w:tcPr>
            <w:tcW w:w="1506" w:type="dxa"/>
            <w:vMerge w:val="restart"/>
            <w:vAlign w:val="center"/>
          </w:tcPr>
          <w:p w14:paraId="7EDB0B88">
            <w:pPr>
              <w:jc w:val="center"/>
              <w:rPr>
                <w:rFonts w:eastAsiaTheme="minorEastAsia"/>
                <w:szCs w:val="21"/>
                <w:highlight w:val="none"/>
              </w:rPr>
            </w:pPr>
            <w:r>
              <w:rPr>
                <w:rFonts w:eastAsiaTheme="minorEastAsia"/>
                <w:szCs w:val="21"/>
                <w:highlight w:val="none"/>
              </w:rPr>
              <w:t>6.42</w:t>
            </w:r>
          </w:p>
        </w:tc>
        <w:tc>
          <w:tcPr>
            <w:tcW w:w="1506" w:type="dxa"/>
            <w:vMerge w:val="restart"/>
            <w:vAlign w:val="center"/>
          </w:tcPr>
          <w:p w14:paraId="7902E13B">
            <w:pPr>
              <w:jc w:val="center"/>
              <w:rPr>
                <w:rFonts w:eastAsiaTheme="minorEastAsia"/>
                <w:szCs w:val="21"/>
                <w:highlight w:val="none"/>
              </w:rPr>
            </w:pPr>
            <w:r>
              <w:rPr>
                <w:rFonts w:eastAsiaTheme="minorEastAsia"/>
                <w:szCs w:val="21"/>
                <w:highlight w:val="none"/>
              </w:rPr>
              <w:t>0.17</w:t>
            </w:r>
          </w:p>
        </w:tc>
      </w:tr>
      <w:tr w14:paraId="6FA9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continue"/>
            <w:vAlign w:val="center"/>
          </w:tcPr>
          <w:p w14:paraId="4159FB34">
            <w:pPr>
              <w:jc w:val="center"/>
              <w:rPr>
                <w:rFonts w:eastAsiaTheme="minorEastAsia"/>
                <w:szCs w:val="21"/>
                <w:highlight w:val="none"/>
              </w:rPr>
            </w:pPr>
          </w:p>
        </w:tc>
        <w:tc>
          <w:tcPr>
            <w:tcW w:w="1208" w:type="dxa"/>
            <w:vAlign w:val="center"/>
          </w:tcPr>
          <w:p w14:paraId="23E2C0F4">
            <w:pPr>
              <w:jc w:val="center"/>
              <w:rPr>
                <w:rFonts w:eastAsiaTheme="minorEastAsia"/>
                <w:szCs w:val="21"/>
                <w:highlight w:val="none"/>
              </w:rPr>
            </w:pPr>
            <w:r>
              <w:rPr>
                <w:rFonts w:hint="eastAsia" w:eastAsiaTheme="minorEastAsia"/>
                <w:szCs w:val="21"/>
                <w:highlight w:val="none"/>
                <w:lang w:val="en-US" w:eastAsia="zh-CN"/>
              </w:rPr>
              <w:t>2</w:t>
            </w:r>
          </w:p>
        </w:tc>
        <w:tc>
          <w:tcPr>
            <w:tcW w:w="684" w:type="dxa"/>
          </w:tcPr>
          <w:p w14:paraId="407349F5">
            <w:pPr>
              <w:jc w:val="center"/>
              <w:rPr>
                <w:rFonts w:eastAsiaTheme="minorEastAsia"/>
                <w:color w:val="000000"/>
                <w:szCs w:val="21"/>
                <w:highlight w:val="none"/>
              </w:rPr>
            </w:pPr>
            <w:r>
              <w:rPr>
                <w:highlight w:val="none"/>
              </w:rPr>
              <w:t>6.4</w:t>
            </w:r>
          </w:p>
        </w:tc>
        <w:tc>
          <w:tcPr>
            <w:tcW w:w="684" w:type="dxa"/>
          </w:tcPr>
          <w:p w14:paraId="4184438E">
            <w:pPr>
              <w:jc w:val="center"/>
              <w:rPr>
                <w:rFonts w:eastAsiaTheme="minorEastAsia"/>
                <w:color w:val="000000"/>
                <w:szCs w:val="21"/>
                <w:highlight w:val="none"/>
              </w:rPr>
            </w:pPr>
            <w:r>
              <w:rPr>
                <w:highlight w:val="none"/>
              </w:rPr>
              <w:t>6.2</w:t>
            </w:r>
          </w:p>
        </w:tc>
        <w:tc>
          <w:tcPr>
            <w:tcW w:w="683" w:type="dxa"/>
          </w:tcPr>
          <w:p w14:paraId="3AFDB711">
            <w:pPr>
              <w:jc w:val="center"/>
              <w:rPr>
                <w:rFonts w:eastAsiaTheme="minorEastAsia"/>
                <w:color w:val="000000"/>
                <w:szCs w:val="21"/>
                <w:highlight w:val="none"/>
              </w:rPr>
            </w:pPr>
            <w:r>
              <w:rPr>
                <w:highlight w:val="none"/>
              </w:rPr>
              <w:t>6.3</w:t>
            </w:r>
          </w:p>
        </w:tc>
        <w:tc>
          <w:tcPr>
            <w:tcW w:w="1807" w:type="dxa"/>
            <w:vAlign w:val="bottom"/>
          </w:tcPr>
          <w:p w14:paraId="310B46B2">
            <w:pPr>
              <w:jc w:val="center"/>
              <w:rPr>
                <w:rFonts w:eastAsiaTheme="minorEastAsia"/>
                <w:color w:val="000000"/>
                <w:szCs w:val="21"/>
                <w:highlight w:val="none"/>
              </w:rPr>
            </w:pPr>
            <w:r>
              <w:rPr>
                <w:rFonts w:hint="eastAsia"/>
                <w:color w:val="000000"/>
                <w:sz w:val="22"/>
                <w:szCs w:val="22"/>
                <w:highlight w:val="none"/>
              </w:rPr>
              <w:t xml:space="preserve">6.30 </w:t>
            </w:r>
          </w:p>
        </w:tc>
        <w:tc>
          <w:tcPr>
            <w:tcW w:w="1506" w:type="dxa"/>
            <w:vMerge w:val="continue"/>
            <w:vAlign w:val="center"/>
          </w:tcPr>
          <w:p w14:paraId="730F5CDE">
            <w:pPr>
              <w:jc w:val="center"/>
              <w:rPr>
                <w:rFonts w:eastAsiaTheme="minorEastAsia"/>
                <w:szCs w:val="21"/>
                <w:highlight w:val="none"/>
              </w:rPr>
            </w:pPr>
          </w:p>
        </w:tc>
        <w:tc>
          <w:tcPr>
            <w:tcW w:w="1506" w:type="dxa"/>
            <w:vMerge w:val="continue"/>
            <w:vAlign w:val="center"/>
          </w:tcPr>
          <w:p w14:paraId="04B7EC43">
            <w:pPr>
              <w:jc w:val="center"/>
              <w:rPr>
                <w:rFonts w:eastAsiaTheme="minorEastAsia"/>
                <w:szCs w:val="21"/>
                <w:highlight w:val="none"/>
              </w:rPr>
            </w:pPr>
          </w:p>
        </w:tc>
      </w:tr>
      <w:tr w14:paraId="7ABB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vAlign w:val="center"/>
          </w:tcPr>
          <w:p w14:paraId="3B1F700F">
            <w:pPr>
              <w:jc w:val="center"/>
              <w:rPr>
                <w:rFonts w:eastAsiaTheme="minorEastAsia"/>
                <w:szCs w:val="21"/>
                <w:highlight w:val="none"/>
              </w:rPr>
            </w:pPr>
            <w:r>
              <w:rPr>
                <w:rFonts w:hint="eastAsia" w:eastAsiaTheme="minorEastAsia"/>
                <w:szCs w:val="21"/>
                <w:highlight w:val="none"/>
              </w:rPr>
              <w:t>3</w:t>
            </w:r>
          </w:p>
        </w:tc>
        <w:tc>
          <w:tcPr>
            <w:tcW w:w="1208" w:type="dxa"/>
            <w:vAlign w:val="center"/>
          </w:tcPr>
          <w:p w14:paraId="0D1E3DD6">
            <w:pPr>
              <w:jc w:val="center"/>
              <w:rPr>
                <w:rFonts w:eastAsiaTheme="minorEastAsia"/>
                <w:szCs w:val="21"/>
                <w:highlight w:val="none"/>
              </w:rPr>
            </w:pPr>
            <w:r>
              <w:rPr>
                <w:rFonts w:hint="eastAsia" w:eastAsiaTheme="minorEastAsia"/>
                <w:szCs w:val="21"/>
                <w:highlight w:val="none"/>
                <w:lang w:val="en-US" w:eastAsia="zh-CN"/>
              </w:rPr>
              <w:t>1</w:t>
            </w:r>
          </w:p>
        </w:tc>
        <w:tc>
          <w:tcPr>
            <w:tcW w:w="684" w:type="dxa"/>
          </w:tcPr>
          <w:p w14:paraId="5849F106">
            <w:pPr>
              <w:jc w:val="center"/>
              <w:rPr>
                <w:rFonts w:eastAsiaTheme="minorEastAsia"/>
                <w:color w:val="000000"/>
                <w:szCs w:val="21"/>
                <w:highlight w:val="none"/>
              </w:rPr>
            </w:pPr>
            <w:r>
              <w:rPr>
                <w:highlight w:val="none"/>
              </w:rPr>
              <w:t>6.1</w:t>
            </w:r>
          </w:p>
        </w:tc>
        <w:tc>
          <w:tcPr>
            <w:tcW w:w="684" w:type="dxa"/>
          </w:tcPr>
          <w:p w14:paraId="5906C3C6">
            <w:pPr>
              <w:jc w:val="center"/>
              <w:rPr>
                <w:rFonts w:eastAsiaTheme="minorEastAsia"/>
                <w:color w:val="000000"/>
                <w:szCs w:val="21"/>
                <w:highlight w:val="none"/>
              </w:rPr>
            </w:pPr>
            <w:r>
              <w:rPr>
                <w:highlight w:val="none"/>
              </w:rPr>
              <w:t>6</w:t>
            </w:r>
          </w:p>
        </w:tc>
        <w:tc>
          <w:tcPr>
            <w:tcW w:w="683" w:type="dxa"/>
          </w:tcPr>
          <w:p w14:paraId="6ADABB14">
            <w:pPr>
              <w:jc w:val="center"/>
              <w:rPr>
                <w:rFonts w:eastAsiaTheme="minorEastAsia"/>
                <w:color w:val="000000"/>
                <w:szCs w:val="21"/>
                <w:highlight w:val="none"/>
              </w:rPr>
            </w:pPr>
            <w:r>
              <w:rPr>
                <w:highlight w:val="none"/>
              </w:rPr>
              <w:t>6.8</w:t>
            </w:r>
          </w:p>
        </w:tc>
        <w:tc>
          <w:tcPr>
            <w:tcW w:w="1807" w:type="dxa"/>
            <w:vAlign w:val="bottom"/>
          </w:tcPr>
          <w:p w14:paraId="2ABBFD4D">
            <w:pPr>
              <w:jc w:val="center"/>
              <w:rPr>
                <w:rFonts w:eastAsiaTheme="minorEastAsia"/>
                <w:color w:val="000000"/>
                <w:szCs w:val="21"/>
                <w:highlight w:val="none"/>
              </w:rPr>
            </w:pPr>
            <w:r>
              <w:rPr>
                <w:rFonts w:hint="eastAsia"/>
                <w:color w:val="000000"/>
                <w:sz w:val="22"/>
                <w:szCs w:val="22"/>
                <w:highlight w:val="none"/>
              </w:rPr>
              <w:t xml:space="preserve">6.30 </w:t>
            </w:r>
          </w:p>
        </w:tc>
        <w:tc>
          <w:tcPr>
            <w:tcW w:w="1506" w:type="dxa"/>
            <w:vMerge w:val="restart"/>
            <w:vAlign w:val="center"/>
          </w:tcPr>
          <w:p w14:paraId="04FE318D">
            <w:pPr>
              <w:jc w:val="center"/>
              <w:rPr>
                <w:rFonts w:eastAsiaTheme="minorEastAsia"/>
                <w:szCs w:val="21"/>
                <w:highlight w:val="none"/>
              </w:rPr>
            </w:pPr>
            <w:r>
              <w:rPr>
                <w:rFonts w:eastAsiaTheme="minorEastAsia"/>
                <w:szCs w:val="21"/>
                <w:highlight w:val="none"/>
              </w:rPr>
              <w:t>6.40</w:t>
            </w:r>
          </w:p>
        </w:tc>
        <w:tc>
          <w:tcPr>
            <w:tcW w:w="1506" w:type="dxa"/>
            <w:vMerge w:val="restart"/>
            <w:vAlign w:val="center"/>
          </w:tcPr>
          <w:p w14:paraId="5CF7A26C">
            <w:pPr>
              <w:jc w:val="center"/>
              <w:rPr>
                <w:rFonts w:eastAsiaTheme="minorEastAsia"/>
                <w:szCs w:val="21"/>
                <w:highlight w:val="none"/>
              </w:rPr>
            </w:pPr>
            <w:r>
              <w:rPr>
                <w:rFonts w:eastAsiaTheme="minorEastAsia"/>
                <w:szCs w:val="21"/>
                <w:highlight w:val="none"/>
              </w:rPr>
              <w:t>0.14</w:t>
            </w:r>
          </w:p>
        </w:tc>
      </w:tr>
      <w:tr w14:paraId="41A4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continue"/>
            <w:vAlign w:val="center"/>
          </w:tcPr>
          <w:p w14:paraId="1E6182AE">
            <w:pPr>
              <w:jc w:val="center"/>
              <w:rPr>
                <w:rFonts w:eastAsiaTheme="minorEastAsia"/>
                <w:szCs w:val="21"/>
                <w:highlight w:val="none"/>
              </w:rPr>
            </w:pPr>
          </w:p>
        </w:tc>
        <w:tc>
          <w:tcPr>
            <w:tcW w:w="1208" w:type="dxa"/>
            <w:vAlign w:val="center"/>
          </w:tcPr>
          <w:p w14:paraId="2D72DEEB">
            <w:pPr>
              <w:jc w:val="center"/>
              <w:rPr>
                <w:rFonts w:eastAsiaTheme="minorEastAsia"/>
                <w:szCs w:val="21"/>
                <w:highlight w:val="none"/>
              </w:rPr>
            </w:pPr>
            <w:r>
              <w:rPr>
                <w:rFonts w:hint="eastAsia" w:eastAsiaTheme="minorEastAsia"/>
                <w:szCs w:val="21"/>
                <w:highlight w:val="none"/>
                <w:lang w:val="en-US" w:eastAsia="zh-CN"/>
              </w:rPr>
              <w:t>2</w:t>
            </w:r>
          </w:p>
        </w:tc>
        <w:tc>
          <w:tcPr>
            <w:tcW w:w="684" w:type="dxa"/>
          </w:tcPr>
          <w:p w14:paraId="7584FBEF">
            <w:pPr>
              <w:jc w:val="center"/>
              <w:rPr>
                <w:rFonts w:eastAsiaTheme="minorEastAsia"/>
                <w:color w:val="000000"/>
                <w:szCs w:val="21"/>
                <w:highlight w:val="none"/>
              </w:rPr>
            </w:pPr>
            <w:r>
              <w:rPr>
                <w:highlight w:val="none"/>
              </w:rPr>
              <w:t>6.3</w:t>
            </w:r>
          </w:p>
        </w:tc>
        <w:tc>
          <w:tcPr>
            <w:tcW w:w="684" w:type="dxa"/>
          </w:tcPr>
          <w:p w14:paraId="61250993">
            <w:pPr>
              <w:jc w:val="center"/>
              <w:rPr>
                <w:rFonts w:eastAsiaTheme="minorEastAsia"/>
                <w:color w:val="000000"/>
                <w:szCs w:val="21"/>
                <w:highlight w:val="none"/>
              </w:rPr>
            </w:pPr>
            <w:r>
              <w:rPr>
                <w:highlight w:val="none"/>
              </w:rPr>
              <w:t>6.2</w:t>
            </w:r>
          </w:p>
        </w:tc>
        <w:tc>
          <w:tcPr>
            <w:tcW w:w="683" w:type="dxa"/>
          </w:tcPr>
          <w:p w14:paraId="6980EE8E">
            <w:pPr>
              <w:jc w:val="center"/>
              <w:rPr>
                <w:rFonts w:eastAsiaTheme="minorEastAsia"/>
                <w:color w:val="000000"/>
                <w:szCs w:val="21"/>
                <w:highlight w:val="none"/>
              </w:rPr>
            </w:pPr>
            <w:r>
              <w:rPr>
                <w:highlight w:val="none"/>
              </w:rPr>
              <w:t>7</w:t>
            </w:r>
          </w:p>
        </w:tc>
        <w:tc>
          <w:tcPr>
            <w:tcW w:w="1807" w:type="dxa"/>
            <w:vAlign w:val="bottom"/>
          </w:tcPr>
          <w:p w14:paraId="353F810D">
            <w:pPr>
              <w:jc w:val="center"/>
              <w:rPr>
                <w:rFonts w:eastAsiaTheme="minorEastAsia"/>
                <w:color w:val="000000"/>
                <w:szCs w:val="21"/>
                <w:highlight w:val="none"/>
              </w:rPr>
            </w:pPr>
            <w:r>
              <w:rPr>
                <w:rFonts w:hint="eastAsia"/>
                <w:color w:val="000000"/>
                <w:sz w:val="22"/>
                <w:szCs w:val="22"/>
                <w:highlight w:val="none"/>
              </w:rPr>
              <w:t xml:space="preserve">6.50 </w:t>
            </w:r>
          </w:p>
        </w:tc>
        <w:tc>
          <w:tcPr>
            <w:tcW w:w="1506" w:type="dxa"/>
            <w:vMerge w:val="continue"/>
            <w:vAlign w:val="center"/>
          </w:tcPr>
          <w:p w14:paraId="74AE338C">
            <w:pPr>
              <w:jc w:val="center"/>
              <w:rPr>
                <w:rFonts w:eastAsiaTheme="minorEastAsia"/>
                <w:szCs w:val="21"/>
                <w:highlight w:val="none"/>
              </w:rPr>
            </w:pPr>
          </w:p>
        </w:tc>
        <w:tc>
          <w:tcPr>
            <w:tcW w:w="1506" w:type="dxa"/>
            <w:vMerge w:val="continue"/>
            <w:vAlign w:val="center"/>
          </w:tcPr>
          <w:p w14:paraId="68474891">
            <w:pPr>
              <w:jc w:val="center"/>
              <w:rPr>
                <w:rFonts w:eastAsiaTheme="minorEastAsia"/>
                <w:szCs w:val="21"/>
                <w:highlight w:val="none"/>
              </w:rPr>
            </w:pPr>
          </w:p>
        </w:tc>
      </w:tr>
      <w:tr w14:paraId="7CC3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vAlign w:val="center"/>
          </w:tcPr>
          <w:p w14:paraId="7EB90140">
            <w:pPr>
              <w:jc w:val="center"/>
              <w:rPr>
                <w:rFonts w:eastAsiaTheme="minorEastAsia"/>
                <w:szCs w:val="21"/>
                <w:highlight w:val="none"/>
              </w:rPr>
            </w:pPr>
            <w:bookmarkStart w:id="33" w:name="_Hlk207120299"/>
            <w:r>
              <w:rPr>
                <w:rFonts w:hint="eastAsia" w:eastAsiaTheme="minorEastAsia"/>
                <w:szCs w:val="21"/>
                <w:highlight w:val="none"/>
              </w:rPr>
              <w:t>4</w:t>
            </w:r>
          </w:p>
        </w:tc>
        <w:tc>
          <w:tcPr>
            <w:tcW w:w="1208" w:type="dxa"/>
            <w:vAlign w:val="center"/>
          </w:tcPr>
          <w:p w14:paraId="11C94A36">
            <w:pPr>
              <w:jc w:val="center"/>
              <w:rPr>
                <w:rFonts w:eastAsiaTheme="minorEastAsia"/>
                <w:szCs w:val="21"/>
                <w:highlight w:val="none"/>
              </w:rPr>
            </w:pPr>
            <w:r>
              <w:rPr>
                <w:rFonts w:hint="eastAsia" w:eastAsiaTheme="minorEastAsia"/>
                <w:szCs w:val="21"/>
                <w:highlight w:val="none"/>
                <w:lang w:val="en-US" w:eastAsia="zh-CN"/>
              </w:rPr>
              <w:t>1</w:t>
            </w:r>
          </w:p>
        </w:tc>
        <w:tc>
          <w:tcPr>
            <w:tcW w:w="684" w:type="dxa"/>
          </w:tcPr>
          <w:p w14:paraId="7F89D0A6">
            <w:pPr>
              <w:jc w:val="center"/>
              <w:rPr>
                <w:rFonts w:eastAsiaTheme="minorEastAsia"/>
                <w:color w:val="000000"/>
                <w:szCs w:val="21"/>
                <w:highlight w:val="none"/>
              </w:rPr>
            </w:pPr>
            <w:r>
              <w:rPr>
                <w:highlight w:val="none"/>
              </w:rPr>
              <w:t>5.4</w:t>
            </w:r>
          </w:p>
        </w:tc>
        <w:tc>
          <w:tcPr>
            <w:tcW w:w="684" w:type="dxa"/>
          </w:tcPr>
          <w:p w14:paraId="7AA820E8">
            <w:pPr>
              <w:jc w:val="center"/>
              <w:rPr>
                <w:rFonts w:eastAsiaTheme="minorEastAsia"/>
                <w:color w:val="000000"/>
                <w:szCs w:val="21"/>
                <w:highlight w:val="none"/>
              </w:rPr>
            </w:pPr>
            <w:r>
              <w:rPr>
                <w:highlight w:val="none"/>
              </w:rPr>
              <w:t>5.6</w:t>
            </w:r>
          </w:p>
        </w:tc>
        <w:tc>
          <w:tcPr>
            <w:tcW w:w="683" w:type="dxa"/>
          </w:tcPr>
          <w:p w14:paraId="7143CFA7">
            <w:pPr>
              <w:jc w:val="center"/>
              <w:rPr>
                <w:rFonts w:eastAsiaTheme="minorEastAsia"/>
                <w:color w:val="000000"/>
                <w:szCs w:val="21"/>
                <w:highlight w:val="none"/>
              </w:rPr>
            </w:pPr>
            <w:r>
              <w:rPr>
                <w:highlight w:val="none"/>
              </w:rPr>
              <w:t>5.6</w:t>
            </w:r>
          </w:p>
        </w:tc>
        <w:tc>
          <w:tcPr>
            <w:tcW w:w="1807" w:type="dxa"/>
            <w:vAlign w:val="bottom"/>
          </w:tcPr>
          <w:p w14:paraId="2A58D0F8">
            <w:pPr>
              <w:jc w:val="center"/>
              <w:rPr>
                <w:rFonts w:eastAsiaTheme="minorEastAsia"/>
                <w:color w:val="000000"/>
                <w:szCs w:val="21"/>
                <w:highlight w:val="none"/>
              </w:rPr>
            </w:pPr>
            <w:r>
              <w:rPr>
                <w:rFonts w:hint="eastAsia"/>
                <w:color w:val="000000"/>
                <w:sz w:val="22"/>
                <w:szCs w:val="22"/>
                <w:highlight w:val="none"/>
              </w:rPr>
              <w:t xml:space="preserve">5.53 </w:t>
            </w:r>
          </w:p>
        </w:tc>
        <w:tc>
          <w:tcPr>
            <w:tcW w:w="1506" w:type="dxa"/>
            <w:vMerge w:val="restart"/>
            <w:vAlign w:val="center"/>
          </w:tcPr>
          <w:p w14:paraId="2AFC6E96">
            <w:pPr>
              <w:jc w:val="center"/>
              <w:rPr>
                <w:rFonts w:eastAsiaTheme="minorEastAsia"/>
                <w:szCs w:val="21"/>
                <w:highlight w:val="none"/>
              </w:rPr>
            </w:pPr>
            <w:r>
              <w:rPr>
                <w:rFonts w:eastAsiaTheme="minorEastAsia"/>
                <w:szCs w:val="21"/>
                <w:highlight w:val="none"/>
              </w:rPr>
              <w:t>5.57</w:t>
            </w:r>
          </w:p>
        </w:tc>
        <w:tc>
          <w:tcPr>
            <w:tcW w:w="1506" w:type="dxa"/>
            <w:vMerge w:val="restart"/>
            <w:vAlign w:val="center"/>
          </w:tcPr>
          <w:p w14:paraId="2A8F38B2">
            <w:pPr>
              <w:jc w:val="center"/>
              <w:rPr>
                <w:rFonts w:eastAsiaTheme="minorEastAsia"/>
                <w:szCs w:val="21"/>
                <w:highlight w:val="none"/>
              </w:rPr>
            </w:pPr>
            <w:r>
              <w:rPr>
                <w:rFonts w:eastAsiaTheme="minorEastAsia"/>
                <w:szCs w:val="21"/>
                <w:highlight w:val="none"/>
              </w:rPr>
              <w:t>0.05</w:t>
            </w:r>
          </w:p>
        </w:tc>
      </w:tr>
      <w:tr w14:paraId="1A87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continue"/>
            <w:vAlign w:val="center"/>
          </w:tcPr>
          <w:p w14:paraId="20C76DB6">
            <w:pPr>
              <w:jc w:val="center"/>
              <w:rPr>
                <w:rFonts w:eastAsiaTheme="minorEastAsia"/>
                <w:szCs w:val="21"/>
                <w:highlight w:val="none"/>
              </w:rPr>
            </w:pPr>
          </w:p>
        </w:tc>
        <w:tc>
          <w:tcPr>
            <w:tcW w:w="1208" w:type="dxa"/>
            <w:vAlign w:val="center"/>
          </w:tcPr>
          <w:p w14:paraId="52229A47">
            <w:pPr>
              <w:jc w:val="center"/>
              <w:rPr>
                <w:rFonts w:eastAsiaTheme="minorEastAsia"/>
                <w:szCs w:val="21"/>
                <w:highlight w:val="none"/>
              </w:rPr>
            </w:pPr>
            <w:r>
              <w:rPr>
                <w:rFonts w:hint="eastAsia" w:eastAsiaTheme="minorEastAsia"/>
                <w:szCs w:val="21"/>
                <w:highlight w:val="none"/>
                <w:lang w:val="en-US" w:eastAsia="zh-CN"/>
              </w:rPr>
              <w:t>2</w:t>
            </w:r>
          </w:p>
        </w:tc>
        <w:tc>
          <w:tcPr>
            <w:tcW w:w="684" w:type="dxa"/>
          </w:tcPr>
          <w:p w14:paraId="745C8026">
            <w:pPr>
              <w:jc w:val="center"/>
              <w:rPr>
                <w:rFonts w:eastAsiaTheme="minorEastAsia"/>
                <w:color w:val="000000"/>
                <w:szCs w:val="21"/>
                <w:highlight w:val="none"/>
              </w:rPr>
            </w:pPr>
            <w:r>
              <w:rPr>
                <w:highlight w:val="none"/>
              </w:rPr>
              <w:t>5.5</w:t>
            </w:r>
          </w:p>
        </w:tc>
        <w:tc>
          <w:tcPr>
            <w:tcW w:w="684" w:type="dxa"/>
          </w:tcPr>
          <w:p w14:paraId="61594467">
            <w:pPr>
              <w:jc w:val="center"/>
              <w:rPr>
                <w:rFonts w:eastAsiaTheme="minorEastAsia"/>
                <w:color w:val="000000"/>
                <w:szCs w:val="21"/>
                <w:highlight w:val="none"/>
              </w:rPr>
            </w:pPr>
            <w:r>
              <w:rPr>
                <w:highlight w:val="none"/>
              </w:rPr>
              <w:t>5.7</w:t>
            </w:r>
          </w:p>
        </w:tc>
        <w:tc>
          <w:tcPr>
            <w:tcW w:w="683" w:type="dxa"/>
          </w:tcPr>
          <w:p w14:paraId="30D1E650">
            <w:pPr>
              <w:jc w:val="center"/>
              <w:rPr>
                <w:rFonts w:eastAsiaTheme="minorEastAsia"/>
                <w:color w:val="000000"/>
                <w:szCs w:val="21"/>
                <w:highlight w:val="none"/>
              </w:rPr>
            </w:pPr>
            <w:r>
              <w:rPr>
                <w:highlight w:val="none"/>
              </w:rPr>
              <w:t>5.6</w:t>
            </w:r>
          </w:p>
        </w:tc>
        <w:tc>
          <w:tcPr>
            <w:tcW w:w="1807" w:type="dxa"/>
            <w:vAlign w:val="bottom"/>
          </w:tcPr>
          <w:p w14:paraId="0DC4780F">
            <w:pPr>
              <w:jc w:val="center"/>
              <w:rPr>
                <w:rFonts w:eastAsiaTheme="minorEastAsia"/>
                <w:color w:val="000000"/>
                <w:szCs w:val="21"/>
                <w:highlight w:val="none"/>
              </w:rPr>
            </w:pPr>
            <w:r>
              <w:rPr>
                <w:rFonts w:hint="eastAsia"/>
                <w:color w:val="000000"/>
                <w:sz w:val="22"/>
                <w:szCs w:val="22"/>
                <w:highlight w:val="none"/>
              </w:rPr>
              <w:t xml:space="preserve">5.60 </w:t>
            </w:r>
          </w:p>
        </w:tc>
        <w:tc>
          <w:tcPr>
            <w:tcW w:w="1506" w:type="dxa"/>
            <w:vMerge w:val="continue"/>
            <w:vAlign w:val="center"/>
          </w:tcPr>
          <w:p w14:paraId="6E31E6ED">
            <w:pPr>
              <w:jc w:val="center"/>
              <w:rPr>
                <w:rFonts w:eastAsiaTheme="minorEastAsia"/>
                <w:szCs w:val="21"/>
                <w:highlight w:val="none"/>
              </w:rPr>
            </w:pPr>
          </w:p>
        </w:tc>
        <w:tc>
          <w:tcPr>
            <w:tcW w:w="1506" w:type="dxa"/>
            <w:vMerge w:val="continue"/>
            <w:vAlign w:val="center"/>
          </w:tcPr>
          <w:p w14:paraId="4D8A2220">
            <w:pPr>
              <w:jc w:val="center"/>
              <w:rPr>
                <w:rFonts w:eastAsiaTheme="minorEastAsia"/>
                <w:szCs w:val="21"/>
                <w:highlight w:val="none"/>
              </w:rPr>
            </w:pPr>
          </w:p>
        </w:tc>
      </w:tr>
      <w:bookmarkEnd w:id="33"/>
      <w:tr w14:paraId="5C1E2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vAlign w:val="center"/>
          </w:tcPr>
          <w:p w14:paraId="670BD1C4">
            <w:pPr>
              <w:jc w:val="center"/>
              <w:rPr>
                <w:rFonts w:eastAsiaTheme="minorEastAsia"/>
                <w:szCs w:val="21"/>
                <w:highlight w:val="none"/>
              </w:rPr>
            </w:pPr>
            <w:r>
              <w:rPr>
                <w:rFonts w:hint="eastAsia" w:eastAsiaTheme="minorEastAsia"/>
                <w:szCs w:val="21"/>
                <w:highlight w:val="none"/>
              </w:rPr>
              <w:t>6</w:t>
            </w:r>
          </w:p>
        </w:tc>
        <w:tc>
          <w:tcPr>
            <w:tcW w:w="1208" w:type="dxa"/>
            <w:vAlign w:val="center"/>
          </w:tcPr>
          <w:p w14:paraId="4B7B2FA2">
            <w:pPr>
              <w:jc w:val="center"/>
              <w:rPr>
                <w:rFonts w:eastAsiaTheme="minorEastAsia"/>
                <w:szCs w:val="21"/>
                <w:highlight w:val="none"/>
              </w:rPr>
            </w:pPr>
            <w:r>
              <w:rPr>
                <w:rFonts w:hint="eastAsia" w:eastAsiaTheme="minorEastAsia"/>
                <w:szCs w:val="21"/>
                <w:highlight w:val="none"/>
                <w:lang w:val="en-US" w:eastAsia="zh-CN"/>
              </w:rPr>
              <w:t>1</w:t>
            </w:r>
          </w:p>
        </w:tc>
        <w:tc>
          <w:tcPr>
            <w:tcW w:w="684" w:type="dxa"/>
          </w:tcPr>
          <w:p w14:paraId="4FDF351D">
            <w:pPr>
              <w:jc w:val="center"/>
              <w:rPr>
                <w:highlight w:val="none"/>
              </w:rPr>
            </w:pPr>
            <w:r>
              <w:rPr>
                <w:highlight w:val="none"/>
              </w:rPr>
              <w:t>2.4</w:t>
            </w:r>
          </w:p>
        </w:tc>
        <w:tc>
          <w:tcPr>
            <w:tcW w:w="684" w:type="dxa"/>
          </w:tcPr>
          <w:p w14:paraId="41057C84">
            <w:pPr>
              <w:jc w:val="center"/>
              <w:rPr>
                <w:highlight w:val="none"/>
              </w:rPr>
            </w:pPr>
            <w:r>
              <w:rPr>
                <w:highlight w:val="none"/>
              </w:rPr>
              <w:t>2.3</w:t>
            </w:r>
          </w:p>
        </w:tc>
        <w:tc>
          <w:tcPr>
            <w:tcW w:w="683" w:type="dxa"/>
          </w:tcPr>
          <w:p w14:paraId="0A86ABC6">
            <w:pPr>
              <w:jc w:val="center"/>
              <w:rPr>
                <w:highlight w:val="none"/>
              </w:rPr>
            </w:pPr>
            <w:r>
              <w:rPr>
                <w:highlight w:val="none"/>
              </w:rPr>
              <w:t>2.3</w:t>
            </w:r>
          </w:p>
        </w:tc>
        <w:tc>
          <w:tcPr>
            <w:tcW w:w="1807" w:type="dxa"/>
            <w:vAlign w:val="bottom"/>
          </w:tcPr>
          <w:p w14:paraId="6B7879E8">
            <w:pPr>
              <w:jc w:val="center"/>
              <w:rPr>
                <w:rFonts w:eastAsiaTheme="minorEastAsia"/>
                <w:color w:val="000000"/>
                <w:szCs w:val="21"/>
                <w:highlight w:val="none"/>
              </w:rPr>
            </w:pPr>
            <w:r>
              <w:rPr>
                <w:rFonts w:hint="eastAsia"/>
                <w:color w:val="000000"/>
                <w:sz w:val="22"/>
                <w:szCs w:val="22"/>
                <w:highlight w:val="none"/>
              </w:rPr>
              <w:t xml:space="preserve">2.33 </w:t>
            </w:r>
          </w:p>
        </w:tc>
        <w:tc>
          <w:tcPr>
            <w:tcW w:w="1506" w:type="dxa"/>
            <w:vMerge w:val="restart"/>
            <w:vAlign w:val="center"/>
          </w:tcPr>
          <w:p w14:paraId="07E9B537">
            <w:pPr>
              <w:jc w:val="center"/>
              <w:rPr>
                <w:rFonts w:eastAsiaTheme="minorEastAsia"/>
                <w:szCs w:val="21"/>
                <w:highlight w:val="none"/>
              </w:rPr>
            </w:pPr>
            <w:r>
              <w:rPr>
                <w:rFonts w:hint="eastAsia" w:eastAsiaTheme="minorEastAsia"/>
                <w:szCs w:val="21"/>
                <w:highlight w:val="none"/>
              </w:rPr>
              <w:t>2.33</w:t>
            </w:r>
          </w:p>
        </w:tc>
        <w:tc>
          <w:tcPr>
            <w:tcW w:w="1506" w:type="dxa"/>
            <w:vMerge w:val="restart"/>
            <w:vAlign w:val="center"/>
          </w:tcPr>
          <w:p w14:paraId="2BD9C318">
            <w:pPr>
              <w:jc w:val="center"/>
              <w:rPr>
                <w:rFonts w:eastAsiaTheme="minorEastAsia"/>
                <w:szCs w:val="21"/>
                <w:highlight w:val="none"/>
              </w:rPr>
            </w:pPr>
            <w:r>
              <w:rPr>
                <w:rFonts w:hint="eastAsia" w:eastAsiaTheme="minorEastAsia"/>
                <w:szCs w:val="21"/>
                <w:highlight w:val="none"/>
              </w:rPr>
              <w:t>0.00</w:t>
            </w:r>
          </w:p>
        </w:tc>
      </w:tr>
      <w:tr w14:paraId="2977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continue"/>
            <w:vAlign w:val="center"/>
          </w:tcPr>
          <w:p w14:paraId="0C30F37B">
            <w:pPr>
              <w:jc w:val="center"/>
              <w:rPr>
                <w:rFonts w:eastAsiaTheme="minorEastAsia"/>
                <w:szCs w:val="21"/>
                <w:highlight w:val="none"/>
              </w:rPr>
            </w:pPr>
          </w:p>
        </w:tc>
        <w:tc>
          <w:tcPr>
            <w:tcW w:w="1208" w:type="dxa"/>
            <w:vAlign w:val="center"/>
          </w:tcPr>
          <w:p w14:paraId="4CF97AD5">
            <w:pPr>
              <w:jc w:val="center"/>
              <w:rPr>
                <w:rFonts w:eastAsiaTheme="minorEastAsia"/>
                <w:szCs w:val="21"/>
                <w:highlight w:val="none"/>
              </w:rPr>
            </w:pPr>
            <w:r>
              <w:rPr>
                <w:rFonts w:hint="eastAsia" w:eastAsiaTheme="minorEastAsia"/>
                <w:szCs w:val="21"/>
                <w:highlight w:val="none"/>
                <w:lang w:val="en-US" w:eastAsia="zh-CN"/>
              </w:rPr>
              <w:t>2</w:t>
            </w:r>
          </w:p>
        </w:tc>
        <w:tc>
          <w:tcPr>
            <w:tcW w:w="684" w:type="dxa"/>
          </w:tcPr>
          <w:p w14:paraId="19EA2110">
            <w:pPr>
              <w:jc w:val="center"/>
              <w:rPr>
                <w:highlight w:val="none"/>
              </w:rPr>
            </w:pPr>
            <w:r>
              <w:rPr>
                <w:highlight w:val="none"/>
              </w:rPr>
              <w:t>2.2</w:t>
            </w:r>
          </w:p>
        </w:tc>
        <w:tc>
          <w:tcPr>
            <w:tcW w:w="684" w:type="dxa"/>
          </w:tcPr>
          <w:p w14:paraId="46033409">
            <w:pPr>
              <w:jc w:val="center"/>
              <w:rPr>
                <w:highlight w:val="none"/>
              </w:rPr>
            </w:pPr>
            <w:r>
              <w:rPr>
                <w:highlight w:val="none"/>
              </w:rPr>
              <w:t>2.4</w:t>
            </w:r>
          </w:p>
        </w:tc>
        <w:tc>
          <w:tcPr>
            <w:tcW w:w="683" w:type="dxa"/>
          </w:tcPr>
          <w:p w14:paraId="03F01337">
            <w:pPr>
              <w:jc w:val="center"/>
              <w:rPr>
                <w:highlight w:val="none"/>
              </w:rPr>
            </w:pPr>
            <w:r>
              <w:rPr>
                <w:highlight w:val="none"/>
              </w:rPr>
              <w:t>2.4</w:t>
            </w:r>
          </w:p>
        </w:tc>
        <w:tc>
          <w:tcPr>
            <w:tcW w:w="1807" w:type="dxa"/>
            <w:vAlign w:val="bottom"/>
          </w:tcPr>
          <w:p w14:paraId="2C1DE592">
            <w:pPr>
              <w:jc w:val="center"/>
              <w:rPr>
                <w:rFonts w:eastAsiaTheme="minorEastAsia"/>
                <w:color w:val="000000"/>
                <w:szCs w:val="21"/>
                <w:highlight w:val="none"/>
              </w:rPr>
            </w:pPr>
            <w:r>
              <w:rPr>
                <w:rFonts w:hint="eastAsia"/>
                <w:color w:val="000000"/>
                <w:sz w:val="22"/>
                <w:szCs w:val="22"/>
                <w:highlight w:val="none"/>
              </w:rPr>
              <w:t xml:space="preserve">2.33 </w:t>
            </w:r>
          </w:p>
        </w:tc>
        <w:tc>
          <w:tcPr>
            <w:tcW w:w="1506" w:type="dxa"/>
            <w:vMerge w:val="continue"/>
            <w:vAlign w:val="center"/>
          </w:tcPr>
          <w:p w14:paraId="11FCDB8C">
            <w:pPr>
              <w:jc w:val="center"/>
              <w:rPr>
                <w:rFonts w:eastAsiaTheme="minorEastAsia"/>
                <w:szCs w:val="21"/>
                <w:highlight w:val="none"/>
              </w:rPr>
            </w:pPr>
          </w:p>
        </w:tc>
        <w:tc>
          <w:tcPr>
            <w:tcW w:w="1506" w:type="dxa"/>
            <w:vMerge w:val="continue"/>
            <w:vAlign w:val="center"/>
          </w:tcPr>
          <w:p w14:paraId="2C7F449B">
            <w:pPr>
              <w:jc w:val="center"/>
              <w:rPr>
                <w:rFonts w:eastAsiaTheme="minorEastAsia"/>
                <w:szCs w:val="21"/>
                <w:highlight w:val="none"/>
              </w:rPr>
            </w:pPr>
          </w:p>
        </w:tc>
      </w:tr>
      <w:tr w14:paraId="63E8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vAlign w:val="center"/>
          </w:tcPr>
          <w:p w14:paraId="17607481">
            <w:pPr>
              <w:jc w:val="center"/>
              <w:rPr>
                <w:rFonts w:eastAsiaTheme="minorEastAsia"/>
                <w:szCs w:val="21"/>
                <w:highlight w:val="none"/>
              </w:rPr>
            </w:pPr>
            <w:r>
              <w:rPr>
                <w:rFonts w:hint="eastAsia" w:eastAsiaTheme="minorEastAsia"/>
                <w:szCs w:val="21"/>
                <w:highlight w:val="none"/>
              </w:rPr>
              <w:t>7</w:t>
            </w:r>
          </w:p>
        </w:tc>
        <w:tc>
          <w:tcPr>
            <w:tcW w:w="1208" w:type="dxa"/>
            <w:vAlign w:val="center"/>
          </w:tcPr>
          <w:p w14:paraId="4B23BA52">
            <w:pPr>
              <w:jc w:val="center"/>
              <w:rPr>
                <w:rFonts w:eastAsiaTheme="minorEastAsia"/>
                <w:szCs w:val="21"/>
                <w:highlight w:val="none"/>
              </w:rPr>
            </w:pPr>
            <w:r>
              <w:rPr>
                <w:rFonts w:hint="eastAsia" w:eastAsiaTheme="minorEastAsia"/>
                <w:szCs w:val="21"/>
                <w:highlight w:val="none"/>
                <w:lang w:val="en-US" w:eastAsia="zh-CN"/>
              </w:rPr>
              <w:t>1</w:t>
            </w:r>
          </w:p>
        </w:tc>
        <w:tc>
          <w:tcPr>
            <w:tcW w:w="684" w:type="dxa"/>
          </w:tcPr>
          <w:p w14:paraId="395E36E1">
            <w:pPr>
              <w:jc w:val="center"/>
              <w:rPr>
                <w:rFonts w:eastAsiaTheme="minorEastAsia"/>
                <w:color w:val="000000"/>
                <w:szCs w:val="21"/>
                <w:highlight w:val="none"/>
              </w:rPr>
            </w:pPr>
            <w:r>
              <w:rPr>
                <w:highlight w:val="none"/>
              </w:rPr>
              <w:t>6.1</w:t>
            </w:r>
          </w:p>
        </w:tc>
        <w:tc>
          <w:tcPr>
            <w:tcW w:w="684" w:type="dxa"/>
          </w:tcPr>
          <w:p w14:paraId="34C243BD">
            <w:pPr>
              <w:jc w:val="center"/>
              <w:rPr>
                <w:rFonts w:eastAsiaTheme="minorEastAsia"/>
                <w:color w:val="000000"/>
                <w:szCs w:val="21"/>
                <w:highlight w:val="none"/>
              </w:rPr>
            </w:pPr>
            <w:r>
              <w:rPr>
                <w:highlight w:val="none"/>
              </w:rPr>
              <w:t>6.2</w:t>
            </w:r>
          </w:p>
        </w:tc>
        <w:tc>
          <w:tcPr>
            <w:tcW w:w="683" w:type="dxa"/>
          </w:tcPr>
          <w:p w14:paraId="57B16CD2">
            <w:pPr>
              <w:jc w:val="center"/>
              <w:rPr>
                <w:rFonts w:eastAsiaTheme="minorEastAsia"/>
                <w:color w:val="000000"/>
                <w:szCs w:val="21"/>
                <w:highlight w:val="none"/>
              </w:rPr>
            </w:pPr>
            <w:r>
              <w:rPr>
                <w:highlight w:val="none"/>
              </w:rPr>
              <w:t>6.1</w:t>
            </w:r>
          </w:p>
        </w:tc>
        <w:tc>
          <w:tcPr>
            <w:tcW w:w="1807" w:type="dxa"/>
            <w:vAlign w:val="bottom"/>
          </w:tcPr>
          <w:p w14:paraId="2225FA6C">
            <w:pPr>
              <w:jc w:val="center"/>
              <w:rPr>
                <w:rFonts w:eastAsiaTheme="minorEastAsia"/>
                <w:color w:val="000000"/>
                <w:szCs w:val="21"/>
                <w:highlight w:val="none"/>
              </w:rPr>
            </w:pPr>
            <w:r>
              <w:rPr>
                <w:rFonts w:hint="eastAsia"/>
                <w:color w:val="000000"/>
                <w:sz w:val="22"/>
                <w:szCs w:val="22"/>
                <w:highlight w:val="none"/>
              </w:rPr>
              <w:t xml:space="preserve">6.13 </w:t>
            </w:r>
          </w:p>
        </w:tc>
        <w:tc>
          <w:tcPr>
            <w:tcW w:w="1506" w:type="dxa"/>
            <w:vMerge w:val="restart"/>
            <w:vAlign w:val="center"/>
          </w:tcPr>
          <w:p w14:paraId="48E44E1C">
            <w:pPr>
              <w:jc w:val="center"/>
              <w:rPr>
                <w:rFonts w:eastAsiaTheme="minorEastAsia"/>
                <w:szCs w:val="21"/>
                <w:highlight w:val="none"/>
              </w:rPr>
            </w:pPr>
            <w:r>
              <w:rPr>
                <w:rFonts w:hint="eastAsia" w:eastAsiaTheme="minorEastAsia"/>
                <w:szCs w:val="21"/>
                <w:highlight w:val="none"/>
              </w:rPr>
              <w:t>6.18</w:t>
            </w:r>
          </w:p>
        </w:tc>
        <w:tc>
          <w:tcPr>
            <w:tcW w:w="1506" w:type="dxa"/>
            <w:vMerge w:val="restart"/>
            <w:vAlign w:val="center"/>
          </w:tcPr>
          <w:p w14:paraId="647F64CC">
            <w:pPr>
              <w:jc w:val="center"/>
              <w:rPr>
                <w:rFonts w:eastAsiaTheme="minorEastAsia"/>
                <w:szCs w:val="21"/>
                <w:highlight w:val="none"/>
              </w:rPr>
            </w:pPr>
            <w:r>
              <w:rPr>
                <w:rFonts w:eastAsiaTheme="minorEastAsia"/>
                <w:szCs w:val="21"/>
                <w:highlight w:val="none"/>
              </w:rPr>
              <w:t>0.0</w:t>
            </w:r>
            <w:r>
              <w:rPr>
                <w:rFonts w:hint="eastAsia" w:eastAsiaTheme="minorEastAsia"/>
                <w:szCs w:val="21"/>
                <w:highlight w:val="none"/>
              </w:rPr>
              <w:t>7</w:t>
            </w:r>
          </w:p>
        </w:tc>
      </w:tr>
      <w:tr w14:paraId="6357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continue"/>
            <w:vAlign w:val="center"/>
          </w:tcPr>
          <w:p w14:paraId="33232A0D">
            <w:pPr>
              <w:jc w:val="center"/>
              <w:rPr>
                <w:rFonts w:eastAsiaTheme="minorEastAsia"/>
                <w:szCs w:val="21"/>
                <w:highlight w:val="none"/>
              </w:rPr>
            </w:pPr>
          </w:p>
        </w:tc>
        <w:tc>
          <w:tcPr>
            <w:tcW w:w="1208" w:type="dxa"/>
            <w:vAlign w:val="center"/>
          </w:tcPr>
          <w:p w14:paraId="4706F1A1">
            <w:pPr>
              <w:jc w:val="center"/>
              <w:rPr>
                <w:rFonts w:eastAsiaTheme="minorEastAsia"/>
                <w:szCs w:val="21"/>
                <w:highlight w:val="none"/>
              </w:rPr>
            </w:pPr>
            <w:r>
              <w:rPr>
                <w:rFonts w:hint="eastAsia" w:eastAsiaTheme="minorEastAsia"/>
                <w:szCs w:val="21"/>
                <w:highlight w:val="none"/>
                <w:lang w:val="en-US" w:eastAsia="zh-CN"/>
              </w:rPr>
              <w:t>2</w:t>
            </w:r>
          </w:p>
        </w:tc>
        <w:tc>
          <w:tcPr>
            <w:tcW w:w="684" w:type="dxa"/>
          </w:tcPr>
          <w:p w14:paraId="76D1E6A3">
            <w:pPr>
              <w:jc w:val="center"/>
              <w:rPr>
                <w:rFonts w:eastAsiaTheme="minorEastAsia"/>
                <w:color w:val="000000"/>
                <w:szCs w:val="21"/>
                <w:highlight w:val="none"/>
              </w:rPr>
            </w:pPr>
            <w:r>
              <w:rPr>
                <w:highlight w:val="none"/>
              </w:rPr>
              <w:t>6.2</w:t>
            </w:r>
          </w:p>
        </w:tc>
        <w:tc>
          <w:tcPr>
            <w:tcW w:w="684" w:type="dxa"/>
          </w:tcPr>
          <w:p w14:paraId="7E3D0264">
            <w:pPr>
              <w:jc w:val="center"/>
              <w:rPr>
                <w:rFonts w:eastAsiaTheme="minorEastAsia"/>
                <w:color w:val="000000"/>
                <w:szCs w:val="21"/>
                <w:highlight w:val="none"/>
              </w:rPr>
            </w:pPr>
            <w:r>
              <w:rPr>
                <w:highlight w:val="none"/>
              </w:rPr>
              <w:t>6.2</w:t>
            </w:r>
          </w:p>
        </w:tc>
        <w:tc>
          <w:tcPr>
            <w:tcW w:w="683" w:type="dxa"/>
          </w:tcPr>
          <w:p w14:paraId="3D89DBD6">
            <w:pPr>
              <w:jc w:val="center"/>
              <w:rPr>
                <w:rFonts w:eastAsiaTheme="minorEastAsia"/>
                <w:color w:val="000000"/>
                <w:szCs w:val="21"/>
                <w:highlight w:val="none"/>
              </w:rPr>
            </w:pPr>
            <w:r>
              <w:rPr>
                <w:highlight w:val="none"/>
              </w:rPr>
              <w:t>6.3</w:t>
            </w:r>
          </w:p>
        </w:tc>
        <w:tc>
          <w:tcPr>
            <w:tcW w:w="1807" w:type="dxa"/>
            <w:vAlign w:val="bottom"/>
          </w:tcPr>
          <w:p w14:paraId="365D0D70">
            <w:pPr>
              <w:jc w:val="center"/>
              <w:rPr>
                <w:rFonts w:eastAsiaTheme="minorEastAsia"/>
                <w:color w:val="000000"/>
                <w:szCs w:val="21"/>
                <w:highlight w:val="none"/>
              </w:rPr>
            </w:pPr>
            <w:r>
              <w:rPr>
                <w:rFonts w:hint="eastAsia"/>
                <w:color w:val="000000"/>
                <w:sz w:val="22"/>
                <w:szCs w:val="22"/>
                <w:highlight w:val="none"/>
              </w:rPr>
              <w:t xml:space="preserve">6.23 </w:t>
            </w:r>
          </w:p>
        </w:tc>
        <w:tc>
          <w:tcPr>
            <w:tcW w:w="1506" w:type="dxa"/>
            <w:vMerge w:val="continue"/>
            <w:vAlign w:val="center"/>
          </w:tcPr>
          <w:p w14:paraId="14A064FA">
            <w:pPr>
              <w:jc w:val="center"/>
              <w:rPr>
                <w:rFonts w:eastAsiaTheme="minorEastAsia"/>
                <w:szCs w:val="21"/>
                <w:highlight w:val="none"/>
              </w:rPr>
            </w:pPr>
          </w:p>
        </w:tc>
        <w:tc>
          <w:tcPr>
            <w:tcW w:w="1506" w:type="dxa"/>
            <w:vMerge w:val="continue"/>
            <w:vAlign w:val="center"/>
          </w:tcPr>
          <w:p w14:paraId="1F56234E">
            <w:pPr>
              <w:jc w:val="center"/>
              <w:rPr>
                <w:rFonts w:eastAsiaTheme="minorEastAsia"/>
                <w:szCs w:val="21"/>
                <w:highlight w:val="none"/>
              </w:rPr>
            </w:pPr>
          </w:p>
        </w:tc>
      </w:tr>
      <w:bookmarkEnd w:id="30"/>
      <w:bookmarkEnd w:id="31"/>
      <w:bookmarkEnd w:id="32"/>
    </w:tbl>
    <w:p w14:paraId="54F758AB">
      <w:pPr>
        <w:jc w:val="center"/>
        <w:rPr>
          <w:highlight w:val="none"/>
        </w:rPr>
      </w:pPr>
    </w:p>
    <w:bookmarkEnd w:id="28"/>
    <w:p w14:paraId="1706AF37">
      <w:pPr>
        <w:jc w:val="center"/>
        <w:rPr>
          <w:rFonts w:eastAsia="黑体"/>
          <w:highlight w:val="none"/>
        </w:rPr>
      </w:pPr>
      <w:r>
        <w:rPr>
          <w:rFonts w:eastAsia="黑体"/>
          <w:highlight w:val="none"/>
        </w:rPr>
        <w:t>表2样品B的ITP结果和补充统计数据</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151"/>
        <w:gridCol w:w="795"/>
        <w:gridCol w:w="795"/>
        <w:gridCol w:w="795"/>
        <w:gridCol w:w="1723"/>
        <w:gridCol w:w="1438"/>
        <w:gridCol w:w="1438"/>
      </w:tblGrid>
      <w:tr w14:paraId="56B2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restart"/>
            <w:vAlign w:val="center"/>
          </w:tcPr>
          <w:p w14:paraId="502B60B5">
            <w:pPr>
              <w:jc w:val="center"/>
              <w:rPr>
                <w:rFonts w:eastAsiaTheme="minorEastAsia"/>
                <w:szCs w:val="21"/>
                <w:highlight w:val="none"/>
              </w:rPr>
            </w:pPr>
            <w:bookmarkStart w:id="34" w:name="_Hlk207382933"/>
            <w:r>
              <w:rPr>
                <w:rFonts w:hint="eastAsia" w:eastAsia="仿宋"/>
                <w:kern w:val="0"/>
                <w:szCs w:val="21"/>
                <w:highlight w:val="none"/>
              </w:rPr>
              <w:t>实验室</w:t>
            </w:r>
            <w:r>
              <w:rPr>
                <w:rFonts w:eastAsia="仿宋"/>
                <w:kern w:val="0"/>
                <w:szCs w:val="21"/>
                <w:highlight w:val="none"/>
              </w:rPr>
              <w:t>p,p=</w:t>
            </w:r>
            <w:r>
              <w:rPr>
                <w:rFonts w:hint="eastAsia" w:eastAsia="仿宋"/>
                <w:kern w:val="0"/>
                <w:szCs w:val="21"/>
                <w:highlight w:val="none"/>
              </w:rPr>
              <w:t>6</w:t>
            </w:r>
          </w:p>
        </w:tc>
        <w:tc>
          <w:tcPr>
            <w:tcW w:w="620" w:type="pct"/>
            <w:vMerge w:val="restart"/>
            <w:vAlign w:val="center"/>
          </w:tcPr>
          <w:p w14:paraId="3492D0BD">
            <w:pPr>
              <w:jc w:val="center"/>
              <w:rPr>
                <w:rFonts w:eastAsiaTheme="minorEastAsia"/>
                <w:szCs w:val="21"/>
                <w:highlight w:val="none"/>
              </w:rPr>
            </w:pPr>
            <w:r>
              <w:rPr>
                <w:rFonts w:hint="eastAsia" w:eastAsia="仿宋"/>
                <w:kern w:val="0"/>
                <w:szCs w:val="21"/>
                <w:highlight w:val="none"/>
              </w:rPr>
              <w:t>天</w:t>
            </w:r>
            <w:r>
              <w:rPr>
                <w:rFonts w:eastAsia="仿宋"/>
                <w:kern w:val="0"/>
                <w:szCs w:val="21"/>
                <w:highlight w:val="none"/>
              </w:rPr>
              <w:t>q</w:t>
            </w:r>
            <w:r>
              <w:rPr>
                <w:rFonts w:hint="eastAsia" w:eastAsia="仿宋"/>
                <w:kern w:val="0"/>
                <w:szCs w:val="21"/>
                <w:highlight w:val="none"/>
              </w:rPr>
              <w:t>，</w:t>
            </w:r>
            <w:r>
              <w:rPr>
                <w:rFonts w:eastAsia="仿宋"/>
                <w:kern w:val="0"/>
                <w:szCs w:val="21"/>
                <w:highlight w:val="none"/>
              </w:rPr>
              <w:t>q=2</w:t>
            </w:r>
          </w:p>
        </w:tc>
        <w:tc>
          <w:tcPr>
            <w:tcW w:w="1284" w:type="pct"/>
            <w:gridSpan w:val="3"/>
            <w:vAlign w:val="center"/>
          </w:tcPr>
          <w:p w14:paraId="78A38A0B">
            <w:pPr>
              <w:jc w:val="center"/>
              <w:rPr>
                <w:rFonts w:eastAsiaTheme="minorEastAsia"/>
                <w:szCs w:val="21"/>
                <w:highlight w:val="none"/>
              </w:rPr>
            </w:pPr>
            <w:r>
              <w:rPr>
                <w:rFonts w:eastAsiaTheme="minorEastAsia"/>
                <w:szCs w:val="21"/>
                <w:highlight w:val="none"/>
              </w:rPr>
              <w:t>试验结果</w:t>
            </w:r>
          </w:p>
        </w:tc>
        <w:tc>
          <w:tcPr>
            <w:tcW w:w="928" w:type="pct"/>
            <w:vAlign w:val="center"/>
          </w:tcPr>
          <w:p w14:paraId="5258DAAE">
            <w:pPr>
              <w:jc w:val="center"/>
              <w:rPr>
                <w:rFonts w:eastAsiaTheme="minorEastAsia"/>
                <w:szCs w:val="21"/>
                <w:highlight w:val="none"/>
              </w:rPr>
            </w:pPr>
            <w:r>
              <w:rPr>
                <w:rFonts w:eastAsiaTheme="minorEastAsia"/>
                <w:szCs w:val="21"/>
                <w:highlight w:val="none"/>
              </w:rPr>
              <w:t>数据平均值</w:t>
            </w:r>
          </w:p>
        </w:tc>
        <w:tc>
          <w:tcPr>
            <w:tcW w:w="774" w:type="pct"/>
            <w:vAlign w:val="center"/>
          </w:tcPr>
          <w:p w14:paraId="6700CDA6">
            <w:pPr>
              <w:jc w:val="center"/>
              <w:rPr>
                <w:rFonts w:eastAsiaTheme="minorEastAsia"/>
                <w:szCs w:val="21"/>
                <w:highlight w:val="none"/>
              </w:rPr>
            </w:pPr>
            <w:r>
              <w:rPr>
                <w:rFonts w:eastAsiaTheme="minorEastAsia"/>
                <w:szCs w:val="21"/>
                <w:highlight w:val="none"/>
              </w:rPr>
              <w:t>天平均值</w:t>
            </w:r>
          </w:p>
        </w:tc>
        <w:tc>
          <w:tcPr>
            <w:tcW w:w="774" w:type="pct"/>
            <w:vAlign w:val="center"/>
          </w:tcPr>
          <w:p w14:paraId="18393DAB">
            <w:pPr>
              <w:jc w:val="center"/>
              <w:rPr>
                <w:rFonts w:eastAsiaTheme="minorEastAsia"/>
                <w:szCs w:val="21"/>
                <w:highlight w:val="none"/>
              </w:rPr>
            </w:pPr>
            <w:r>
              <w:rPr>
                <w:rFonts w:eastAsiaTheme="minorEastAsia"/>
                <w:szCs w:val="21"/>
                <w:highlight w:val="none"/>
              </w:rPr>
              <w:t>天标准差</w:t>
            </w:r>
          </w:p>
        </w:tc>
      </w:tr>
      <w:tr w14:paraId="343DB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continue"/>
            <w:vAlign w:val="center"/>
          </w:tcPr>
          <w:p w14:paraId="4467C7B3">
            <w:pPr>
              <w:jc w:val="center"/>
              <w:rPr>
                <w:rFonts w:eastAsiaTheme="minorEastAsia"/>
                <w:szCs w:val="21"/>
                <w:highlight w:val="none"/>
              </w:rPr>
            </w:pPr>
          </w:p>
        </w:tc>
        <w:tc>
          <w:tcPr>
            <w:tcW w:w="620" w:type="pct"/>
            <w:vMerge w:val="continue"/>
            <w:vAlign w:val="center"/>
          </w:tcPr>
          <w:p w14:paraId="43392E21">
            <w:pPr>
              <w:jc w:val="center"/>
              <w:rPr>
                <w:rFonts w:eastAsiaTheme="minorEastAsia"/>
                <w:szCs w:val="21"/>
                <w:highlight w:val="none"/>
              </w:rPr>
            </w:pPr>
          </w:p>
        </w:tc>
        <w:tc>
          <w:tcPr>
            <w:tcW w:w="428" w:type="pct"/>
            <w:vAlign w:val="center"/>
          </w:tcPr>
          <w:p w14:paraId="1A796735">
            <w:pPr>
              <w:jc w:val="center"/>
              <w:rPr>
                <w:rFonts w:eastAsiaTheme="minorEastAsia"/>
                <w:szCs w:val="21"/>
                <w:highlight w:val="none"/>
              </w:rPr>
            </w:pPr>
            <w:r>
              <w:rPr>
                <w:rFonts w:eastAsiaTheme="minorEastAsia"/>
                <w:szCs w:val="21"/>
                <w:highlight w:val="none"/>
              </w:rPr>
              <w:t>M1</w:t>
            </w:r>
          </w:p>
        </w:tc>
        <w:tc>
          <w:tcPr>
            <w:tcW w:w="428" w:type="pct"/>
            <w:vAlign w:val="center"/>
          </w:tcPr>
          <w:p w14:paraId="4201BAAC">
            <w:pPr>
              <w:jc w:val="center"/>
              <w:rPr>
                <w:rFonts w:eastAsiaTheme="minorEastAsia"/>
                <w:szCs w:val="21"/>
                <w:highlight w:val="none"/>
              </w:rPr>
            </w:pPr>
            <w:r>
              <w:rPr>
                <w:rFonts w:eastAsiaTheme="minorEastAsia"/>
                <w:szCs w:val="21"/>
                <w:highlight w:val="none"/>
              </w:rPr>
              <w:t>M2</w:t>
            </w:r>
          </w:p>
        </w:tc>
        <w:tc>
          <w:tcPr>
            <w:tcW w:w="428" w:type="pct"/>
            <w:vAlign w:val="center"/>
          </w:tcPr>
          <w:p w14:paraId="6EE53845">
            <w:pPr>
              <w:jc w:val="center"/>
              <w:rPr>
                <w:rFonts w:eastAsiaTheme="minorEastAsia"/>
                <w:szCs w:val="21"/>
                <w:highlight w:val="none"/>
              </w:rPr>
            </w:pPr>
            <w:r>
              <w:rPr>
                <w:rFonts w:eastAsiaTheme="minorEastAsia"/>
                <w:szCs w:val="21"/>
                <w:highlight w:val="none"/>
              </w:rPr>
              <w:t>M3</w:t>
            </w:r>
          </w:p>
        </w:tc>
        <w:tc>
          <w:tcPr>
            <w:tcW w:w="928" w:type="pct"/>
            <w:vAlign w:val="center"/>
          </w:tcPr>
          <w:p w14:paraId="4BF0079C">
            <w:pPr>
              <w:jc w:val="center"/>
              <w:rPr>
                <w:rFonts w:eastAsiaTheme="minorEastAsia"/>
                <w:szCs w:val="21"/>
                <w:highlight w:val="none"/>
              </w:rPr>
            </w:pPr>
            <m:oMath>
              <m:bar>
                <m:barPr>
                  <m:pos m:val="top"/>
                  <m:ctrlPr>
                    <w:rPr>
                      <w:rFonts w:ascii="Cambria Math" w:hAnsi="Cambria Math" w:eastAsiaTheme="minorEastAsia"/>
                      <w:szCs w:val="21"/>
                      <w:highlight w:val="none"/>
                    </w:rPr>
                  </m:ctrlPr>
                </m:barPr>
                <m:e>
                  <m:r>
                    <m:rPr/>
                    <w:rPr>
                      <w:rFonts w:ascii="Cambria Math" w:hAnsi="Cambria Math" w:eastAsiaTheme="minorEastAsia"/>
                      <w:szCs w:val="21"/>
                      <w:highlight w:val="none"/>
                    </w:rPr>
                    <m:t>y</m:t>
                  </m:r>
                  <m:ctrlPr>
                    <w:rPr>
                      <w:rFonts w:ascii="Cambria Math" w:hAnsi="Cambria Math" w:eastAsiaTheme="minorEastAsia"/>
                      <w:szCs w:val="21"/>
                      <w:highlight w:val="none"/>
                    </w:rPr>
                  </m:ctrlPr>
                </m:e>
              </m:bar>
            </m:oMath>
            <w:r>
              <w:rPr>
                <w:rFonts w:eastAsiaTheme="minorEastAsia"/>
                <w:szCs w:val="21"/>
                <w:highlight w:val="none"/>
                <w:vertAlign w:val="subscript"/>
              </w:rPr>
              <w:t>ij·</w:t>
            </w:r>
          </w:p>
        </w:tc>
        <w:tc>
          <w:tcPr>
            <w:tcW w:w="774" w:type="pct"/>
            <w:vAlign w:val="center"/>
          </w:tcPr>
          <w:p w14:paraId="2D069EC9">
            <w:pPr>
              <w:jc w:val="center"/>
              <w:rPr>
                <w:rFonts w:eastAsiaTheme="minorEastAsia"/>
                <w:szCs w:val="21"/>
                <w:highlight w:val="none"/>
              </w:rPr>
            </w:pPr>
            <m:oMath>
              <m:bar>
                <m:barPr>
                  <m:pos m:val="top"/>
                  <m:ctrlPr>
                    <w:rPr>
                      <w:rFonts w:ascii="Cambria Math" w:hAnsi="Cambria Math" w:eastAsiaTheme="minorEastAsia"/>
                      <w:szCs w:val="21"/>
                      <w:highlight w:val="none"/>
                    </w:rPr>
                  </m:ctrlPr>
                </m:barPr>
                <m:e>
                  <m:r>
                    <m:rPr/>
                    <w:rPr>
                      <w:rFonts w:ascii="Cambria Math" w:hAnsi="Cambria Math" w:eastAsiaTheme="minorEastAsia"/>
                      <w:szCs w:val="21"/>
                      <w:highlight w:val="none"/>
                    </w:rPr>
                    <m:t>y</m:t>
                  </m:r>
                  <m:ctrlPr>
                    <w:rPr>
                      <w:rFonts w:ascii="Cambria Math" w:hAnsi="Cambria Math" w:eastAsiaTheme="minorEastAsia"/>
                      <w:szCs w:val="21"/>
                      <w:highlight w:val="none"/>
                    </w:rPr>
                  </m:ctrlPr>
                </m:e>
              </m:bar>
            </m:oMath>
            <w:r>
              <w:rPr>
                <w:rFonts w:eastAsiaTheme="minorEastAsia"/>
                <w:szCs w:val="21"/>
                <w:highlight w:val="none"/>
                <w:vertAlign w:val="subscript"/>
              </w:rPr>
              <w:t>i··</w:t>
            </w:r>
          </w:p>
        </w:tc>
        <w:tc>
          <w:tcPr>
            <w:tcW w:w="774" w:type="pct"/>
            <w:vAlign w:val="center"/>
          </w:tcPr>
          <w:p w14:paraId="55707538">
            <w:pPr>
              <w:jc w:val="center"/>
              <w:rPr>
                <w:rFonts w:eastAsiaTheme="minorEastAsia"/>
                <w:szCs w:val="21"/>
                <w:highlight w:val="none"/>
              </w:rPr>
            </w:pPr>
            <w:r>
              <w:rPr>
                <w:rFonts w:eastAsiaTheme="minorEastAsia"/>
                <w:szCs w:val="21"/>
                <w:highlight w:val="none"/>
              </w:rPr>
              <w:t>s</w:t>
            </w:r>
            <w:r>
              <w:rPr>
                <w:rFonts w:eastAsiaTheme="minorEastAsia"/>
                <w:szCs w:val="21"/>
                <w:highlight w:val="none"/>
                <w:vertAlign w:val="subscript"/>
              </w:rPr>
              <w:t>i</w:t>
            </w:r>
          </w:p>
        </w:tc>
      </w:tr>
      <w:bookmarkEnd w:id="34"/>
      <w:tr w14:paraId="1A85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restart"/>
            <w:vAlign w:val="center"/>
          </w:tcPr>
          <w:p w14:paraId="6485D775">
            <w:pPr>
              <w:jc w:val="center"/>
              <w:rPr>
                <w:rFonts w:eastAsiaTheme="minorEastAsia"/>
                <w:szCs w:val="21"/>
                <w:highlight w:val="none"/>
              </w:rPr>
            </w:pPr>
            <w:r>
              <w:rPr>
                <w:rFonts w:hint="eastAsia" w:eastAsiaTheme="minorEastAsia"/>
                <w:szCs w:val="21"/>
                <w:highlight w:val="none"/>
              </w:rPr>
              <w:t>1</w:t>
            </w:r>
          </w:p>
        </w:tc>
        <w:tc>
          <w:tcPr>
            <w:tcW w:w="1152" w:type="dxa"/>
            <w:vAlign w:val="center"/>
          </w:tcPr>
          <w:p w14:paraId="3741F812">
            <w:pPr>
              <w:jc w:val="center"/>
              <w:rPr>
                <w:rFonts w:eastAsiaTheme="minorEastAsia"/>
                <w:szCs w:val="21"/>
                <w:highlight w:val="none"/>
              </w:rPr>
            </w:pPr>
            <w:r>
              <w:rPr>
                <w:rFonts w:hint="eastAsia" w:eastAsiaTheme="minorEastAsia"/>
                <w:szCs w:val="21"/>
                <w:highlight w:val="none"/>
                <w:lang w:val="en-US" w:eastAsia="zh-CN"/>
              </w:rPr>
              <w:t>1</w:t>
            </w:r>
          </w:p>
        </w:tc>
        <w:tc>
          <w:tcPr>
            <w:tcW w:w="428" w:type="pct"/>
            <w:vAlign w:val="center"/>
          </w:tcPr>
          <w:p w14:paraId="393C13CF">
            <w:pPr>
              <w:jc w:val="center"/>
              <w:rPr>
                <w:rFonts w:eastAsiaTheme="minorEastAsia"/>
                <w:szCs w:val="21"/>
                <w:highlight w:val="none"/>
              </w:rPr>
            </w:pPr>
            <w:r>
              <w:rPr>
                <w:color w:val="000000"/>
                <w:szCs w:val="21"/>
                <w:highlight w:val="none"/>
              </w:rPr>
              <w:t>6.6</w:t>
            </w:r>
          </w:p>
        </w:tc>
        <w:tc>
          <w:tcPr>
            <w:tcW w:w="428" w:type="pct"/>
            <w:vAlign w:val="center"/>
          </w:tcPr>
          <w:p w14:paraId="78BD7083">
            <w:pPr>
              <w:jc w:val="center"/>
              <w:rPr>
                <w:rFonts w:eastAsiaTheme="minorEastAsia"/>
                <w:szCs w:val="21"/>
                <w:highlight w:val="none"/>
              </w:rPr>
            </w:pPr>
            <w:r>
              <w:rPr>
                <w:color w:val="000000"/>
                <w:szCs w:val="21"/>
                <w:highlight w:val="none"/>
              </w:rPr>
              <w:t>6.2</w:t>
            </w:r>
          </w:p>
        </w:tc>
        <w:tc>
          <w:tcPr>
            <w:tcW w:w="428" w:type="pct"/>
            <w:vAlign w:val="center"/>
          </w:tcPr>
          <w:p w14:paraId="3F34816A">
            <w:pPr>
              <w:jc w:val="center"/>
              <w:rPr>
                <w:rFonts w:eastAsiaTheme="minorEastAsia"/>
                <w:szCs w:val="21"/>
                <w:highlight w:val="none"/>
              </w:rPr>
            </w:pPr>
            <w:r>
              <w:rPr>
                <w:color w:val="000000"/>
                <w:szCs w:val="21"/>
                <w:highlight w:val="none"/>
              </w:rPr>
              <w:t>6.4</w:t>
            </w:r>
          </w:p>
        </w:tc>
        <w:tc>
          <w:tcPr>
            <w:tcW w:w="928" w:type="pct"/>
            <w:vAlign w:val="bottom"/>
          </w:tcPr>
          <w:p w14:paraId="3929CDED">
            <w:pPr>
              <w:jc w:val="center"/>
              <w:rPr>
                <w:rFonts w:eastAsiaTheme="minorEastAsia"/>
                <w:color w:val="000000"/>
                <w:szCs w:val="21"/>
                <w:highlight w:val="none"/>
              </w:rPr>
            </w:pPr>
            <w:r>
              <w:rPr>
                <w:color w:val="000000"/>
                <w:sz w:val="22"/>
                <w:szCs w:val="22"/>
                <w:highlight w:val="none"/>
              </w:rPr>
              <w:t xml:space="preserve">6.40 </w:t>
            </w:r>
          </w:p>
        </w:tc>
        <w:tc>
          <w:tcPr>
            <w:tcW w:w="774" w:type="pct"/>
            <w:vMerge w:val="restart"/>
            <w:vAlign w:val="center"/>
          </w:tcPr>
          <w:p w14:paraId="5B2E53F7">
            <w:pPr>
              <w:jc w:val="center"/>
              <w:rPr>
                <w:rFonts w:eastAsiaTheme="minorEastAsia"/>
                <w:szCs w:val="21"/>
                <w:highlight w:val="none"/>
              </w:rPr>
            </w:pPr>
            <w:r>
              <w:rPr>
                <w:rFonts w:eastAsiaTheme="minorEastAsia"/>
                <w:szCs w:val="21"/>
                <w:highlight w:val="none"/>
              </w:rPr>
              <w:t>6.17</w:t>
            </w:r>
          </w:p>
        </w:tc>
        <w:tc>
          <w:tcPr>
            <w:tcW w:w="774" w:type="pct"/>
            <w:vMerge w:val="restart"/>
            <w:vAlign w:val="center"/>
          </w:tcPr>
          <w:p w14:paraId="4584ABBB">
            <w:pPr>
              <w:jc w:val="center"/>
              <w:rPr>
                <w:rFonts w:eastAsiaTheme="minorEastAsia"/>
                <w:szCs w:val="21"/>
                <w:highlight w:val="none"/>
              </w:rPr>
            </w:pPr>
            <w:r>
              <w:rPr>
                <w:rFonts w:eastAsiaTheme="minorEastAsia"/>
                <w:szCs w:val="21"/>
                <w:highlight w:val="none"/>
              </w:rPr>
              <w:t>0.33</w:t>
            </w:r>
          </w:p>
        </w:tc>
      </w:tr>
      <w:tr w14:paraId="5BB4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continue"/>
            <w:vAlign w:val="center"/>
          </w:tcPr>
          <w:p w14:paraId="29D98777">
            <w:pPr>
              <w:jc w:val="center"/>
              <w:rPr>
                <w:rFonts w:eastAsiaTheme="minorEastAsia"/>
                <w:szCs w:val="21"/>
                <w:highlight w:val="none"/>
              </w:rPr>
            </w:pPr>
          </w:p>
        </w:tc>
        <w:tc>
          <w:tcPr>
            <w:tcW w:w="1152" w:type="dxa"/>
            <w:vAlign w:val="center"/>
          </w:tcPr>
          <w:p w14:paraId="7CA0AEC8">
            <w:pPr>
              <w:jc w:val="center"/>
              <w:rPr>
                <w:rFonts w:eastAsiaTheme="minorEastAsia"/>
                <w:szCs w:val="21"/>
                <w:highlight w:val="none"/>
              </w:rPr>
            </w:pPr>
            <w:r>
              <w:rPr>
                <w:rFonts w:hint="eastAsia" w:eastAsiaTheme="minorEastAsia"/>
                <w:szCs w:val="21"/>
                <w:highlight w:val="none"/>
                <w:lang w:val="en-US" w:eastAsia="zh-CN"/>
              </w:rPr>
              <w:t>2</w:t>
            </w:r>
          </w:p>
        </w:tc>
        <w:tc>
          <w:tcPr>
            <w:tcW w:w="428" w:type="pct"/>
            <w:vAlign w:val="center"/>
          </w:tcPr>
          <w:p w14:paraId="772FAFD5">
            <w:pPr>
              <w:jc w:val="center"/>
              <w:rPr>
                <w:rFonts w:eastAsiaTheme="minorEastAsia"/>
                <w:szCs w:val="21"/>
                <w:highlight w:val="none"/>
              </w:rPr>
            </w:pPr>
            <w:r>
              <w:rPr>
                <w:color w:val="000000"/>
                <w:szCs w:val="21"/>
                <w:highlight w:val="none"/>
              </w:rPr>
              <w:t>5.9</w:t>
            </w:r>
          </w:p>
        </w:tc>
        <w:tc>
          <w:tcPr>
            <w:tcW w:w="428" w:type="pct"/>
            <w:vAlign w:val="center"/>
          </w:tcPr>
          <w:p w14:paraId="1B873573">
            <w:pPr>
              <w:jc w:val="center"/>
              <w:rPr>
                <w:rFonts w:eastAsiaTheme="minorEastAsia"/>
                <w:szCs w:val="21"/>
                <w:highlight w:val="none"/>
              </w:rPr>
            </w:pPr>
            <w:r>
              <w:rPr>
                <w:color w:val="000000"/>
                <w:szCs w:val="21"/>
                <w:highlight w:val="none"/>
              </w:rPr>
              <w:t>6.0</w:t>
            </w:r>
          </w:p>
        </w:tc>
        <w:tc>
          <w:tcPr>
            <w:tcW w:w="428" w:type="pct"/>
            <w:vAlign w:val="center"/>
          </w:tcPr>
          <w:p w14:paraId="11951C0F">
            <w:pPr>
              <w:jc w:val="center"/>
              <w:rPr>
                <w:rFonts w:eastAsiaTheme="minorEastAsia"/>
                <w:szCs w:val="21"/>
                <w:highlight w:val="none"/>
              </w:rPr>
            </w:pPr>
            <w:r>
              <w:rPr>
                <w:color w:val="000000"/>
                <w:szCs w:val="21"/>
                <w:highlight w:val="none"/>
              </w:rPr>
              <w:t>5.9</w:t>
            </w:r>
          </w:p>
        </w:tc>
        <w:tc>
          <w:tcPr>
            <w:tcW w:w="928" w:type="pct"/>
            <w:vAlign w:val="bottom"/>
          </w:tcPr>
          <w:p w14:paraId="0508F58D">
            <w:pPr>
              <w:jc w:val="center"/>
              <w:rPr>
                <w:rFonts w:eastAsiaTheme="minorEastAsia"/>
                <w:color w:val="000000"/>
                <w:szCs w:val="21"/>
                <w:highlight w:val="none"/>
              </w:rPr>
            </w:pPr>
            <w:r>
              <w:rPr>
                <w:color w:val="000000"/>
                <w:sz w:val="22"/>
                <w:szCs w:val="22"/>
                <w:highlight w:val="none"/>
              </w:rPr>
              <w:t xml:space="preserve">5.93 </w:t>
            </w:r>
          </w:p>
        </w:tc>
        <w:tc>
          <w:tcPr>
            <w:tcW w:w="774" w:type="pct"/>
            <w:vMerge w:val="continue"/>
            <w:vAlign w:val="center"/>
          </w:tcPr>
          <w:p w14:paraId="252947FE">
            <w:pPr>
              <w:jc w:val="center"/>
              <w:rPr>
                <w:rFonts w:eastAsiaTheme="minorEastAsia"/>
                <w:szCs w:val="21"/>
                <w:highlight w:val="none"/>
              </w:rPr>
            </w:pPr>
          </w:p>
        </w:tc>
        <w:tc>
          <w:tcPr>
            <w:tcW w:w="774" w:type="pct"/>
            <w:vMerge w:val="continue"/>
            <w:vAlign w:val="center"/>
          </w:tcPr>
          <w:p w14:paraId="0269E832">
            <w:pPr>
              <w:jc w:val="center"/>
              <w:rPr>
                <w:rFonts w:eastAsiaTheme="minorEastAsia"/>
                <w:szCs w:val="21"/>
                <w:highlight w:val="none"/>
              </w:rPr>
            </w:pPr>
          </w:p>
        </w:tc>
      </w:tr>
      <w:tr w14:paraId="5E056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restart"/>
            <w:vAlign w:val="center"/>
          </w:tcPr>
          <w:p w14:paraId="506ADCEF">
            <w:pPr>
              <w:jc w:val="center"/>
              <w:rPr>
                <w:rFonts w:eastAsiaTheme="minorEastAsia"/>
                <w:szCs w:val="21"/>
                <w:highlight w:val="none"/>
              </w:rPr>
            </w:pPr>
            <w:r>
              <w:rPr>
                <w:rFonts w:hint="eastAsia" w:eastAsiaTheme="minorEastAsia"/>
                <w:szCs w:val="21"/>
                <w:highlight w:val="none"/>
              </w:rPr>
              <w:t>2</w:t>
            </w:r>
          </w:p>
        </w:tc>
        <w:tc>
          <w:tcPr>
            <w:tcW w:w="1152" w:type="dxa"/>
            <w:vAlign w:val="center"/>
          </w:tcPr>
          <w:p w14:paraId="4092A126">
            <w:pPr>
              <w:jc w:val="center"/>
              <w:rPr>
                <w:rFonts w:eastAsiaTheme="minorEastAsia"/>
                <w:szCs w:val="21"/>
                <w:highlight w:val="none"/>
              </w:rPr>
            </w:pPr>
            <w:r>
              <w:rPr>
                <w:rFonts w:hint="eastAsia" w:eastAsiaTheme="minorEastAsia"/>
                <w:szCs w:val="21"/>
                <w:highlight w:val="none"/>
                <w:lang w:val="en-US" w:eastAsia="zh-CN"/>
              </w:rPr>
              <w:t>1</w:t>
            </w:r>
          </w:p>
        </w:tc>
        <w:tc>
          <w:tcPr>
            <w:tcW w:w="428" w:type="pct"/>
            <w:vAlign w:val="center"/>
          </w:tcPr>
          <w:p w14:paraId="2A821BBF">
            <w:pPr>
              <w:jc w:val="center"/>
              <w:rPr>
                <w:rFonts w:eastAsiaTheme="minorEastAsia"/>
                <w:szCs w:val="21"/>
                <w:highlight w:val="none"/>
              </w:rPr>
            </w:pPr>
            <w:r>
              <w:rPr>
                <w:color w:val="000000"/>
                <w:szCs w:val="21"/>
                <w:highlight w:val="none"/>
              </w:rPr>
              <w:t>5.0</w:t>
            </w:r>
          </w:p>
        </w:tc>
        <w:tc>
          <w:tcPr>
            <w:tcW w:w="428" w:type="pct"/>
            <w:vAlign w:val="center"/>
          </w:tcPr>
          <w:p w14:paraId="48BE03A1">
            <w:pPr>
              <w:jc w:val="center"/>
              <w:rPr>
                <w:rFonts w:eastAsiaTheme="minorEastAsia"/>
                <w:szCs w:val="21"/>
                <w:highlight w:val="none"/>
              </w:rPr>
            </w:pPr>
            <w:r>
              <w:rPr>
                <w:color w:val="000000"/>
                <w:szCs w:val="21"/>
                <w:highlight w:val="none"/>
              </w:rPr>
              <w:t>5.8</w:t>
            </w:r>
          </w:p>
        </w:tc>
        <w:tc>
          <w:tcPr>
            <w:tcW w:w="428" w:type="pct"/>
            <w:vAlign w:val="center"/>
          </w:tcPr>
          <w:p w14:paraId="439375AF">
            <w:pPr>
              <w:jc w:val="center"/>
              <w:rPr>
                <w:rFonts w:eastAsiaTheme="minorEastAsia"/>
                <w:szCs w:val="21"/>
                <w:highlight w:val="none"/>
              </w:rPr>
            </w:pPr>
            <w:r>
              <w:rPr>
                <w:color w:val="000000"/>
                <w:szCs w:val="21"/>
                <w:highlight w:val="none"/>
              </w:rPr>
              <w:t>5.5</w:t>
            </w:r>
          </w:p>
        </w:tc>
        <w:tc>
          <w:tcPr>
            <w:tcW w:w="928" w:type="pct"/>
            <w:vAlign w:val="bottom"/>
          </w:tcPr>
          <w:p w14:paraId="060C1899">
            <w:pPr>
              <w:jc w:val="center"/>
              <w:rPr>
                <w:rFonts w:eastAsiaTheme="minorEastAsia"/>
                <w:color w:val="000000"/>
                <w:szCs w:val="21"/>
                <w:highlight w:val="none"/>
              </w:rPr>
            </w:pPr>
            <w:r>
              <w:rPr>
                <w:color w:val="000000"/>
                <w:sz w:val="22"/>
                <w:szCs w:val="22"/>
                <w:highlight w:val="none"/>
              </w:rPr>
              <w:t xml:space="preserve">5.43 </w:t>
            </w:r>
          </w:p>
        </w:tc>
        <w:tc>
          <w:tcPr>
            <w:tcW w:w="774" w:type="pct"/>
            <w:vMerge w:val="restart"/>
            <w:vAlign w:val="center"/>
          </w:tcPr>
          <w:p w14:paraId="057F9D3B">
            <w:pPr>
              <w:jc w:val="center"/>
              <w:rPr>
                <w:rFonts w:eastAsiaTheme="minorEastAsia"/>
                <w:szCs w:val="21"/>
                <w:highlight w:val="none"/>
              </w:rPr>
            </w:pPr>
            <w:r>
              <w:rPr>
                <w:rFonts w:eastAsiaTheme="minorEastAsia"/>
                <w:szCs w:val="21"/>
                <w:highlight w:val="none"/>
              </w:rPr>
              <w:t>5.53</w:t>
            </w:r>
          </w:p>
        </w:tc>
        <w:tc>
          <w:tcPr>
            <w:tcW w:w="774" w:type="pct"/>
            <w:vMerge w:val="restart"/>
            <w:vAlign w:val="center"/>
          </w:tcPr>
          <w:p w14:paraId="443D97E9">
            <w:pPr>
              <w:jc w:val="center"/>
              <w:rPr>
                <w:rFonts w:eastAsiaTheme="minorEastAsia"/>
                <w:szCs w:val="21"/>
                <w:highlight w:val="none"/>
              </w:rPr>
            </w:pPr>
            <w:r>
              <w:rPr>
                <w:rFonts w:eastAsiaTheme="minorEastAsia"/>
                <w:szCs w:val="21"/>
                <w:highlight w:val="none"/>
              </w:rPr>
              <w:t>0.14</w:t>
            </w:r>
          </w:p>
        </w:tc>
      </w:tr>
      <w:tr w14:paraId="14FF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continue"/>
            <w:vAlign w:val="center"/>
          </w:tcPr>
          <w:p w14:paraId="63E4103F">
            <w:pPr>
              <w:jc w:val="center"/>
              <w:rPr>
                <w:rFonts w:eastAsiaTheme="minorEastAsia"/>
                <w:szCs w:val="21"/>
                <w:highlight w:val="none"/>
              </w:rPr>
            </w:pPr>
          </w:p>
        </w:tc>
        <w:tc>
          <w:tcPr>
            <w:tcW w:w="1152" w:type="dxa"/>
            <w:vAlign w:val="center"/>
          </w:tcPr>
          <w:p w14:paraId="6988F6BF">
            <w:pPr>
              <w:jc w:val="center"/>
              <w:rPr>
                <w:rFonts w:eastAsiaTheme="minorEastAsia"/>
                <w:szCs w:val="21"/>
                <w:highlight w:val="none"/>
              </w:rPr>
            </w:pPr>
            <w:r>
              <w:rPr>
                <w:rFonts w:hint="eastAsia" w:eastAsiaTheme="minorEastAsia"/>
                <w:szCs w:val="21"/>
                <w:highlight w:val="none"/>
                <w:lang w:val="en-US" w:eastAsia="zh-CN"/>
              </w:rPr>
              <w:t>2</w:t>
            </w:r>
          </w:p>
        </w:tc>
        <w:tc>
          <w:tcPr>
            <w:tcW w:w="428" w:type="pct"/>
            <w:vAlign w:val="center"/>
          </w:tcPr>
          <w:p w14:paraId="3CCA217B">
            <w:pPr>
              <w:jc w:val="center"/>
              <w:rPr>
                <w:rFonts w:eastAsiaTheme="minorEastAsia"/>
                <w:szCs w:val="21"/>
                <w:highlight w:val="none"/>
              </w:rPr>
            </w:pPr>
            <w:r>
              <w:rPr>
                <w:color w:val="000000"/>
                <w:szCs w:val="21"/>
                <w:highlight w:val="none"/>
              </w:rPr>
              <w:t>5.9</w:t>
            </w:r>
          </w:p>
        </w:tc>
        <w:tc>
          <w:tcPr>
            <w:tcW w:w="428" w:type="pct"/>
            <w:vAlign w:val="center"/>
          </w:tcPr>
          <w:p w14:paraId="50FCBE67">
            <w:pPr>
              <w:jc w:val="center"/>
              <w:rPr>
                <w:rFonts w:eastAsiaTheme="minorEastAsia"/>
                <w:szCs w:val="21"/>
                <w:highlight w:val="none"/>
              </w:rPr>
            </w:pPr>
            <w:r>
              <w:rPr>
                <w:color w:val="000000"/>
                <w:szCs w:val="21"/>
                <w:highlight w:val="none"/>
              </w:rPr>
              <w:t>5.3</w:t>
            </w:r>
          </w:p>
        </w:tc>
        <w:tc>
          <w:tcPr>
            <w:tcW w:w="428" w:type="pct"/>
            <w:vAlign w:val="center"/>
          </w:tcPr>
          <w:p w14:paraId="75F76B25">
            <w:pPr>
              <w:jc w:val="center"/>
              <w:rPr>
                <w:rFonts w:eastAsiaTheme="minorEastAsia"/>
                <w:szCs w:val="21"/>
                <w:highlight w:val="none"/>
              </w:rPr>
            </w:pPr>
            <w:r>
              <w:rPr>
                <w:color w:val="000000"/>
                <w:szCs w:val="21"/>
                <w:highlight w:val="none"/>
              </w:rPr>
              <w:t>5.7</w:t>
            </w:r>
          </w:p>
        </w:tc>
        <w:tc>
          <w:tcPr>
            <w:tcW w:w="928" w:type="pct"/>
            <w:vAlign w:val="bottom"/>
          </w:tcPr>
          <w:p w14:paraId="49D26EAE">
            <w:pPr>
              <w:jc w:val="center"/>
              <w:rPr>
                <w:rFonts w:eastAsiaTheme="minorEastAsia"/>
                <w:color w:val="000000"/>
                <w:szCs w:val="21"/>
                <w:highlight w:val="none"/>
              </w:rPr>
            </w:pPr>
            <w:r>
              <w:rPr>
                <w:color w:val="000000"/>
                <w:sz w:val="22"/>
                <w:szCs w:val="22"/>
                <w:highlight w:val="none"/>
              </w:rPr>
              <w:t xml:space="preserve">5.63 </w:t>
            </w:r>
          </w:p>
        </w:tc>
        <w:tc>
          <w:tcPr>
            <w:tcW w:w="774" w:type="pct"/>
            <w:vMerge w:val="continue"/>
            <w:vAlign w:val="center"/>
          </w:tcPr>
          <w:p w14:paraId="3B46FE65">
            <w:pPr>
              <w:jc w:val="center"/>
              <w:rPr>
                <w:rFonts w:eastAsiaTheme="minorEastAsia"/>
                <w:szCs w:val="21"/>
                <w:highlight w:val="none"/>
              </w:rPr>
            </w:pPr>
          </w:p>
        </w:tc>
        <w:tc>
          <w:tcPr>
            <w:tcW w:w="774" w:type="pct"/>
            <w:vMerge w:val="continue"/>
            <w:vAlign w:val="center"/>
          </w:tcPr>
          <w:p w14:paraId="6224A137">
            <w:pPr>
              <w:jc w:val="center"/>
              <w:rPr>
                <w:rFonts w:eastAsiaTheme="minorEastAsia"/>
                <w:szCs w:val="21"/>
                <w:highlight w:val="none"/>
              </w:rPr>
            </w:pPr>
          </w:p>
        </w:tc>
      </w:tr>
      <w:tr w14:paraId="71750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restart"/>
            <w:vAlign w:val="center"/>
          </w:tcPr>
          <w:p w14:paraId="3137BCF0">
            <w:pPr>
              <w:jc w:val="center"/>
              <w:rPr>
                <w:rFonts w:eastAsiaTheme="minorEastAsia"/>
                <w:szCs w:val="21"/>
                <w:highlight w:val="none"/>
              </w:rPr>
            </w:pPr>
            <w:r>
              <w:rPr>
                <w:rFonts w:hint="eastAsia" w:eastAsiaTheme="minorEastAsia"/>
                <w:szCs w:val="21"/>
                <w:highlight w:val="none"/>
              </w:rPr>
              <w:t>3</w:t>
            </w:r>
          </w:p>
        </w:tc>
        <w:tc>
          <w:tcPr>
            <w:tcW w:w="1152" w:type="dxa"/>
            <w:vAlign w:val="center"/>
          </w:tcPr>
          <w:p w14:paraId="413EF74F">
            <w:pPr>
              <w:jc w:val="center"/>
              <w:rPr>
                <w:rFonts w:eastAsiaTheme="minorEastAsia"/>
                <w:szCs w:val="21"/>
                <w:highlight w:val="none"/>
              </w:rPr>
            </w:pPr>
            <w:r>
              <w:rPr>
                <w:rFonts w:hint="eastAsia" w:eastAsiaTheme="minorEastAsia"/>
                <w:szCs w:val="21"/>
                <w:highlight w:val="none"/>
                <w:lang w:val="en-US" w:eastAsia="zh-CN"/>
              </w:rPr>
              <w:t>1</w:t>
            </w:r>
          </w:p>
        </w:tc>
        <w:tc>
          <w:tcPr>
            <w:tcW w:w="428" w:type="pct"/>
            <w:vAlign w:val="center"/>
          </w:tcPr>
          <w:p w14:paraId="4FA3D4DC">
            <w:pPr>
              <w:jc w:val="center"/>
              <w:rPr>
                <w:rFonts w:eastAsiaTheme="minorEastAsia"/>
                <w:szCs w:val="21"/>
                <w:highlight w:val="none"/>
              </w:rPr>
            </w:pPr>
            <w:r>
              <w:rPr>
                <w:color w:val="000000"/>
                <w:szCs w:val="21"/>
                <w:highlight w:val="none"/>
              </w:rPr>
              <w:t>4.2</w:t>
            </w:r>
          </w:p>
        </w:tc>
        <w:tc>
          <w:tcPr>
            <w:tcW w:w="428" w:type="pct"/>
            <w:vAlign w:val="center"/>
          </w:tcPr>
          <w:p w14:paraId="5B600B2D">
            <w:pPr>
              <w:jc w:val="center"/>
              <w:rPr>
                <w:rFonts w:eastAsiaTheme="minorEastAsia"/>
                <w:szCs w:val="21"/>
                <w:highlight w:val="none"/>
              </w:rPr>
            </w:pPr>
            <w:r>
              <w:rPr>
                <w:color w:val="000000"/>
                <w:szCs w:val="21"/>
                <w:highlight w:val="none"/>
              </w:rPr>
              <w:t>5.1</w:t>
            </w:r>
          </w:p>
        </w:tc>
        <w:tc>
          <w:tcPr>
            <w:tcW w:w="428" w:type="pct"/>
            <w:vAlign w:val="center"/>
          </w:tcPr>
          <w:p w14:paraId="39AF9E26">
            <w:pPr>
              <w:jc w:val="center"/>
              <w:rPr>
                <w:rFonts w:eastAsiaTheme="minorEastAsia"/>
                <w:szCs w:val="21"/>
                <w:highlight w:val="none"/>
              </w:rPr>
            </w:pPr>
            <w:r>
              <w:rPr>
                <w:color w:val="000000"/>
                <w:szCs w:val="21"/>
                <w:highlight w:val="none"/>
              </w:rPr>
              <w:t>5.1</w:t>
            </w:r>
          </w:p>
        </w:tc>
        <w:tc>
          <w:tcPr>
            <w:tcW w:w="928" w:type="pct"/>
            <w:vAlign w:val="bottom"/>
          </w:tcPr>
          <w:p w14:paraId="2BE99D5A">
            <w:pPr>
              <w:jc w:val="center"/>
              <w:rPr>
                <w:rFonts w:eastAsiaTheme="minorEastAsia"/>
                <w:color w:val="000000"/>
                <w:szCs w:val="21"/>
                <w:highlight w:val="none"/>
              </w:rPr>
            </w:pPr>
            <w:r>
              <w:rPr>
                <w:color w:val="000000"/>
                <w:sz w:val="22"/>
                <w:szCs w:val="22"/>
                <w:highlight w:val="none"/>
              </w:rPr>
              <w:t xml:space="preserve">4.80 </w:t>
            </w:r>
          </w:p>
        </w:tc>
        <w:tc>
          <w:tcPr>
            <w:tcW w:w="774" w:type="pct"/>
            <w:vMerge w:val="restart"/>
            <w:vAlign w:val="center"/>
          </w:tcPr>
          <w:p w14:paraId="7CDBC8A7">
            <w:pPr>
              <w:jc w:val="center"/>
              <w:rPr>
                <w:rFonts w:eastAsiaTheme="minorEastAsia"/>
                <w:szCs w:val="21"/>
                <w:highlight w:val="none"/>
              </w:rPr>
            </w:pPr>
            <w:r>
              <w:rPr>
                <w:rFonts w:eastAsiaTheme="minorEastAsia"/>
                <w:szCs w:val="21"/>
                <w:highlight w:val="none"/>
              </w:rPr>
              <w:t>4.97</w:t>
            </w:r>
          </w:p>
        </w:tc>
        <w:tc>
          <w:tcPr>
            <w:tcW w:w="774" w:type="pct"/>
            <w:vMerge w:val="restart"/>
            <w:vAlign w:val="center"/>
          </w:tcPr>
          <w:p w14:paraId="1D03442E">
            <w:pPr>
              <w:jc w:val="center"/>
              <w:rPr>
                <w:rFonts w:eastAsiaTheme="minorEastAsia"/>
                <w:szCs w:val="21"/>
                <w:highlight w:val="none"/>
              </w:rPr>
            </w:pPr>
            <w:r>
              <w:rPr>
                <w:rFonts w:eastAsiaTheme="minorEastAsia"/>
                <w:szCs w:val="21"/>
                <w:highlight w:val="none"/>
              </w:rPr>
              <w:t>0.24</w:t>
            </w:r>
          </w:p>
        </w:tc>
      </w:tr>
      <w:tr w14:paraId="23F9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continue"/>
            <w:vAlign w:val="center"/>
          </w:tcPr>
          <w:p w14:paraId="2356EC85">
            <w:pPr>
              <w:jc w:val="center"/>
              <w:rPr>
                <w:rFonts w:eastAsiaTheme="minorEastAsia"/>
                <w:szCs w:val="21"/>
                <w:highlight w:val="none"/>
              </w:rPr>
            </w:pPr>
          </w:p>
        </w:tc>
        <w:tc>
          <w:tcPr>
            <w:tcW w:w="1152" w:type="dxa"/>
            <w:vAlign w:val="center"/>
          </w:tcPr>
          <w:p w14:paraId="562386BB">
            <w:pPr>
              <w:jc w:val="center"/>
              <w:rPr>
                <w:rFonts w:eastAsiaTheme="minorEastAsia"/>
                <w:szCs w:val="21"/>
                <w:highlight w:val="none"/>
              </w:rPr>
            </w:pPr>
            <w:r>
              <w:rPr>
                <w:rFonts w:hint="eastAsia" w:eastAsiaTheme="minorEastAsia"/>
                <w:szCs w:val="21"/>
                <w:highlight w:val="none"/>
                <w:lang w:val="en-US" w:eastAsia="zh-CN"/>
              </w:rPr>
              <w:t>2</w:t>
            </w:r>
          </w:p>
        </w:tc>
        <w:tc>
          <w:tcPr>
            <w:tcW w:w="428" w:type="pct"/>
            <w:vAlign w:val="center"/>
          </w:tcPr>
          <w:p w14:paraId="4D3D1F83">
            <w:pPr>
              <w:jc w:val="center"/>
              <w:rPr>
                <w:rFonts w:eastAsiaTheme="minorEastAsia"/>
                <w:szCs w:val="21"/>
                <w:highlight w:val="none"/>
              </w:rPr>
            </w:pPr>
            <w:r>
              <w:rPr>
                <w:color w:val="000000"/>
                <w:szCs w:val="21"/>
                <w:highlight w:val="none"/>
              </w:rPr>
              <w:t>5.0</w:t>
            </w:r>
          </w:p>
        </w:tc>
        <w:tc>
          <w:tcPr>
            <w:tcW w:w="428" w:type="pct"/>
            <w:vAlign w:val="center"/>
          </w:tcPr>
          <w:p w14:paraId="41564B5A">
            <w:pPr>
              <w:jc w:val="center"/>
              <w:rPr>
                <w:rFonts w:eastAsiaTheme="minorEastAsia"/>
                <w:szCs w:val="21"/>
                <w:highlight w:val="none"/>
              </w:rPr>
            </w:pPr>
            <w:r>
              <w:rPr>
                <w:color w:val="000000"/>
                <w:szCs w:val="21"/>
                <w:highlight w:val="none"/>
              </w:rPr>
              <w:t>5.4</w:t>
            </w:r>
          </w:p>
        </w:tc>
        <w:tc>
          <w:tcPr>
            <w:tcW w:w="428" w:type="pct"/>
            <w:vAlign w:val="center"/>
          </w:tcPr>
          <w:p w14:paraId="034B24FD">
            <w:pPr>
              <w:jc w:val="center"/>
              <w:rPr>
                <w:rFonts w:eastAsiaTheme="minorEastAsia"/>
                <w:szCs w:val="21"/>
                <w:highlight w:val="none"/>
              </w:rPr>
            </w:pPr>
            <w:r>
              <w:rPr>
                <w:color w:val="000000"/>
                <w:szCs w:val="21"/>
                <w:highlight w:val="none"/>
              </w:rPr>
              <w:t>5.0</w:t>
            </w:r>
          </w:p>
        </w:tc>
        <w:tc>
          <w:tcPr>
            <w:tcW w:w="928" w:type="pct"/>
            <w:vAlign w:val="bottom"/>
          </w:tcPr>
          <w:p w14:paraId="4E140A91">
            <w:pPr>
              <w:jc w:val="center"/>
              <w:rPr>
                <w:rFonts w:eastAsiaTheme="minorEastAsia"/>
                <w:color w:val="000000"/>
                <w:szCs w:val="21"/>
                <w:highlight w:val="none"/>
              </w:rPr>
            </w:pPr>
            <w:r>
              <w:rPr>
                <w:color w:val="000000"/>
                <w:sz w:val="22"/>
                <w:szCs w:val="22"/>
                <w:highlight w:val="none"/>
              </w:rPr>
              <w:t xml:space="preserve">5.13 </w:t>
            </w:r>
          </w:p>
        </w:tc>
        <w:tc>
          <w:tcPr>
            <w:tcW w:w="774" w:type="pct"/>
            <w:vMerge w:val="continue"/>
            <w:vAlign w:val="center"/>
          </w:tcPr>
          <w:p w14:paraId="08F883B9">
            <w:pPr>
              <w:jc w:val="center"/>
              <w:rPr>
                <w:rFonts w:eastAsiaTheme="minorEastAsia"/>
                <w:szCs w:val="21"/>
                <w:highlight w:val="none"/>
              </w:rPr>
            </w:pPr>
          </w:p>
        </w:tc>
        <w:tc>
          <w:tcPr>
            <w:tcW w:w="774" w:type="pct"/>
            <w:vMerge w:val="continue"/>
            <w:vAlign w:val="center"/>
          </w:tcPr>
          <w:p w14:paraId="24AC4D1E">
            <w:pPr>
              <w:jc w:val="center"/>
              <w:rPr>
                <w:rFonts w:eastAsiaTheme="minorEastAsia"/>
                <w:szCs w:val="21"/>
                <w:highlight w:val="none"/>
              </w:rPr>
            </w:pPr>
          </w:p>
        </w:tc>
      </w:tr>
      <w:tr w14:paraId="5F36E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restart"/>
            <w:vAlign w:val="center"/>
          </w:tcPr>
          <w:p w14:paraId="0CED04AA">
            <w:pPr>
              <w:jc w:val="center"/>
              <w:rPr>
                <w:rFonts w:eastAsiaTheme="minorEastAsia"/>
                <w:szCs w:val="21"/>
                <w:highlight w:val="none"/>
              </w:rPr>
            </w:pPr>
            <w:r>
              <w:rPr>
                <w:rFonts w:hint="eastAsia" w:eastAsiaTheme="minorEastAsia"/>
                <w:szCs w:val="21"/>
                <w:highlight w:val="none"/>
              </w:rPr>
              <w:t>4</w:t>
            </w:r>
          </w:p>
        </w:tc>
        <w:tc>
          <w:tcPr>
            <w:tcW w:w="1152" w:type="dxa"/>
            <w:vAlign w:val="center"/>
          </w:tcPr>
          <w:p w14:paraId="1A3DBBF4">
            <w:pPr>
              <w:jc w:val="center"/>
              <w:rPr>
                <w:rFonts w:eastAsiaTheme="minorEastAsia"/>
                <w:szCs w:val="21"/>
                <w:highlight w:val="none"/>
              </w:rPr>
            </w:pPr>
            <w:r>
              <w:rPr>
                <w:rFonts w:hint="eastAsia" w:eastAsiaTheme="minorEastAsia"/>
                <w:szCs w:val="21"/>
                <w:highlight w:val="none"/>
                <w:lang w:val="en-US" w:eastAsia="zh-CN"/>
              </w:rPr>
              <w:t>1</w:t>
            </w:r>
          </w:p>
        </w:tc>
        <w:tc>
          <w:tcPr>
            <w:tcW w:w="428" w:type="pct"/>
            <w:vAlign w:val="center"/>
          </w:tcPr>
          <w:p w14:paraId="62D0CEC2">
            <w:pPr>
              <w:jc w:val="center"/>
              <w:rPr>
                <w:rFonts w:eastAsiaTheme="minorEastAsia"/>
                <w:szCs w:val="21"/>
                <w:highlight w:val="none"/>
              </w:rPr>
            </w:pPr>
            <w:r>
              <w:rPr>
                <w:color w:val="000000"/>
                <w:szCs w:val="21"/>
                <w:highlight w:val="none"/>
              </w:rPr>
              <w:t>5.7</w:t>
            </w:r>
          </w:p>
        </w:tc>
        <w:tc>
          <w:tcPr>
            <w:tcW w:w="428" w:type="pct"/>
            <w:vAlign w:val="center"/>
          </w:tcPr>
          <w:p w14:paraId="6E804450">
            <w:pPr>
              <w:jc w:val="center"/>
              <w:rPr>
                <w:rFonts w:eastAsiaTheme="minorEastAsia"/>
                <w:szCs w:val="21"/>
                <w:highlight w:val="none"/>
              </w:rPr>
            </w:pPr>
            <w:r>
              <w:rPr>
                <w:color w:val="000000"/>
                <w:szCs w:val="21"/>
                <w:highlight w:val="none"/>
              </w:rPr>
              <w:t>5.4</w:t>
            </w:r>
          </w:p>
        </w:tc>
        <w:tc>
          <w:tcPr>
            <w:tcW w:w="428" w:type="pct"/>
            <w:vAlign w:val="center"/>
          </w:tcPr>
          <w:p w14:paraId="3982CEF7">
            <w:pPr>
              <w:jc w:val="center"/>
              <w:rPr>
                <w:rFonts w:eastAsiaTheme="minorEastAsia"/>
                <w:szCs w:val="21"/>
                <w:highlight w:val="none"/>
              </w:rPr>
            </w:pPr>
            <w:r>
              <w:rPr>
                <w:color w:val="000000"/>
                <w:szCs w:val="21"/>
                <w:highlight w:val="none"/>
              </w:rPr>
              <w:t>5.5</w:t>
            </w:r>
          </w:p>
        </w:tc>
        <w:tc>
          <w:tcPr>
            <w:tcW w:w="928" w:type="pct"/>
            <w:vAlign w:val="bottom"/>
          </w:tcPr>
          <w:p w14:paraId="545446EA">
            <w:pPr>
              <w:jc w:val="center"/>
              <w:rPr>
                <w:rFonts w:eastAsiaTheme="minorEastAsia"/>
                <w:color w:val="000000"/>
                <w:szCs w:val="21"/>
                <w:highlight w:val="none"/>
              </w:rPr>
            </w:pPr>
            <w:r>
              <w:rPr>
                <w:color w:val="000000"/>
                <w:sz w:val="22"/>
                <w:szCs w:val="22"/>
                <w:highlight w:val="none"/>
              </w:rPr>
              <w:t xml:space="preserve">5.53 </w:t>
            </w:r>
          </w:p>
        </w:tc>
        <w:tc>
          <w:tcPr>
            <w:tcW w:w="774" w:type="pct"/>
            <w:vMerge w:val="restart"/>
            <w:vAlign w:val="center"/>
          </w:tcPr>
          <w:p w14:paraId="58E27EAE">
            <w:pPr>
              <w:jc w:val="center"/>
              <w:rPr>
                <w:rFonts w:eastAsiaTheme="minorEastAsia"/>
                <w:szCs w:val="21"/>
                <w:highlight w:val="none"/>
              </w:rPr>
            </w:pPr>
            <w:r>
              <w:rPr>
                <w:rFonts w:eastAsiaTheme="minorEastAsia"/>
                <w:szCs w:val="21"/>
                <w:highlight w:val="none"/>
              </w:rPr>
              <w:t>5.53</w:t>
            </w:r>
          </w:p>
        </w:tc>
        <w:tc>
          <w:tcPr>
            <w:tcW w:w="774" w:type="pct"/>
            <w:vMerge w:val="restart"/>
            <w:vAlign w:val="center"/>
          </w:tcPr>
          <w:p w14:paraId="73A66D59">
            <w:pPr>
              <w:jc w:val="center"/>
              <w:rPr>
                <w:rFonts w:eastAsiaTheme="minorEastAsia"/>
                <w:szCs w:val="21"/>
                <w:highlight w:val="none"/>
              </w:rPr>
            </w:pPr>
            <w:r>
              <w:rPr>
                <w:rFonts w:eastAsiaTheme="minorEastAsia"/>
                <w:szCs w:val="21"/>
                <w:highlight w:val="none"/>
              </w:rPr>
              <w:t>0.00</w:t>
            </w:r>
          </w:p>
        </w:tc>
      </w:tr>
      <w:tr w14:paraId="1C032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continue"/>
            <w:vAlign w:val="center"/>
          </w:tcPr>
          <w:p w14:paraId="035043A1">
            <w:pPr>
              <w:jc w:val="center"/>
              <w:rPr>
                <w:rFonts w:eastAsiaTheme="minorEastAsia"/>
                <w:szCs w:val="21"/>
                <w:highlight w:val="none"/>
              </w:rPr>
            </w:pPr>
          </w:p>
        </w:tc>
        <w:tc>
          <w:tcPr>
            <w:tcW w:w="1152" w:type="dxa"/>
            <w:vAlign w:val="center"/>
          </w:tcPr>
          <w:p w14:paraId="3D4DB798">
            <w:pPr>
              <w:jc w:val="center"/>
              <w:rPr>
                <w:rFonts w:eastAsiaTheme="minorEastAsia"/>
                <w:szCs w:val="21"/>
                <w:highlight w:val="none"/>
              </w:rPr>
            </w:pPr>
            <w:r>
              <w:rPr>
                <w:rFonts w:hint="eastAsia" w:eastAsiaTheme="minorEastAsia"/>
                <w:szCs w:val="21"/>
                <w:highlight w:val="none"/>
                <w:lang w:val="en-US" w:eastAsia="zh-CN"/>
              </w:rPr>
              <w:t>2</w:t>
            </w:r>
          </w:p>
        </w:tc>
        <w:tc>
          <w:tcPr>
            <w:tcW w:w="428" w:type="pct"/>
            <w:vAlign w:val="center"/>
          </w:tcPr>
          <w:p w14:paraId="43AF7DC9">
            <w:pPr>
              <w:jc w:val="center"/>
              <w:rPr>
                <w:rFonts w:eastAsiaTheme="minorEastAsia"/>
                <w:szCs w:val="21"/>
                <w:highlight w:val="none"/>
              </w:rPr>
            </w:pPr>
            <w:r>
              <w:rPr>
                <w:color w:val="000000"/>
                <w:szCs w:val="21"/>
                <w:highlight w:val="none"/>
              </w:rPr>
              <w:t>5.6</w:t>
            </w:r>
          </w:p>
        </w:tc>
        <w:tc>
          <w:tcPr>
            <w:tcW w:w="428" w:type="pct"/>
            <w:vAlign w:val="center"/>
          </w:tcPr>
          <w:p w14:paraId="71521C11">
            <w:pPr>
              <w:jc w:val="center"/>
              <w:rPr>
                <w:rFonts w:eastAsiaTheme="minorEastAsia"/>
                <w:szCs w:val="21"/>
                <w:highlight w:val="none"/>
              </w:rPr>
            </w:pPr>
            <w:r>
              <w:rPr>
                <w:color w:val="000000"/>
                <w:szCs w:val="21"/>
                <w:highlight w:val="none"/>
              </w:rPr>
              <w:t>5.5</w:t>
            </w:r>
          </w:p>
        </w:tc>
        <w:tc>
          <w:tcPr>
            <w:tcW w:w="428" w:type="pct"/>
            <w:vAlign w:val="center"/>
          </w:tcPr>
          <w:p w14:paraId="14754A05">
            <w:pPr>
              <w:jc w:val="center"/>
              <w:rPr>
                <w:rFonts w:eastAsiaTheme="minorEastAsia"/>
                <w:szCs w:val="21"/>
                <w:highlight w:val="none"/>
              </w:rPr>
            </w:pPr>
            <w:r>
              <w:rPr>
                <w:color w:val="000000"/>
                <w:szCs w:val="21"/>
                <w:highlight w:val="none"/>
              </w:rPr>
              <w:t>5.5</w:t>
            </w:r>
          </w:p>
        </w:tc>
        <w:tc>
          <w:tcPr>
            <w:tcW w:w="928" w:type="pct"/>
            <w:vAlign w:val="bottom"/>
          </w:tcPr>
          <w:p w14:paraId="57800485">
            <w:pPr>
              <w:jc w:val="center"/>
              <w:rPr>
                <w:rFonts w:eastAsiaTheme="minorEastAsia"/>
                <w:color w:val="000000"/>
                <w:szCs w:val="21"/>
                <w:highlight w:val="none"/>
              </w:rPr>
            </w:pPr>
            <w:r>
              <w:rPr>
                <w:color w:val="000000"/>
                <w:sz w:val="22"/>
                <w:szCs w:val="22"/>
                <w:highlight w:val="none"/>
              </w:rPr>
              <w:t xml:space="preserve">5.53 </w:t>
            </w:r>
          </w:p>
        </w:tc>
        <w:tc>
          <w:tcPr>
            <w:tcW w:w="774" w:type="pct"/>
            <w:vMerge w:val="continue"/>
            <w:vAlign w:val="center"/>
          </w:tcPr>
          <w:p w14:paraId="238B704D">
            <w:pPr>
              <w:jc w:val="center"/>
              <w:rPr>
                <w:rFonts w:eastAsiaTheme="minorEastAsia"/>
                <w:szCs w:val="21"/>
                <w:highlight w:val="none"/>
              </w:rPr>
            </w:pPr>
          </w:p>
        </w:tc>
        <w:tc>
          <w:tcPr>
            <w:tcW w:w="774" w:type="pct"/>
            <w:vMerge w:val="continue"/>
            <w:vAlign w:val="center"/>
          </w:tcPr>
          <w:p w14:paraId="179BB650">
            <w:pPr>
              <w:jc w:val="center"/>
              <w:rPr>
                <w:rFonts w:eastAsiaTheme="minorEastAsia"/>
                <w:szCs w:val="21"/>
                <w:highlight w:val="none"/>
              </w:rPr>
            </w:pPr>
          </w:p>
        </w:tc>
      </w:tr>
      <w:tr w14:paraId="24AF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restart"/>
            <w:vAlign w:val="center"/>
          </w:tcPr>
          <w:p w14:paraId="24D5528E">
            <w:pPr>
              <w:jc w:val="center"/>
              <w:rPr>
                <w:rFonts w:eastAsiaTheme="minorEastAsia"/>
                <w:szCs w:val="21"/>
                <w:highlight w:val="none"/>
              </w:rPr>
            </w:pPr>
            <w:bookmarkStart w:id="35" w:name="_Hlk207122897"/>
            <w:r>
              <w:rPr>
                <w:rFonts w:hint="eastAsia" w:eastAsiaTheme="minorEastAsia"/>
                <w:szCs w:val="21"/>
                <w:highlight w:val="none"/>
              </w:rPr>
              <w:t>5</w:t>
            </w:r>
          </w:p>
        </w:tc>
        <w:tc>
          <w:tcPr>
            <w:tcW w:w="1152" w:type="dxa"/>
            <w:vAlign w:val="center"/>
          </w:tcPr>
          <w:p w14:paraId="18C5FCCD">
            <w:pPr>
              <w:jc w:val="center"/>
              <w:rPr>
                <w:rFonts w:eastAsiaTheme="minorEastAsia"/>
                <w:szCs w:val="21"/>
                <w:highlight w:val="none"/>
              </w:rPr>
            </w:pPr>
            <w:r>
              <w:rPr>
                <w:rFonts w:hint="eastAsia" w:eastAsiaTheme="minorEastAsia"/>
                <w:szCs w:val="21"/>
                <w:highlight w:val="none"/>
                <w:lang w:val="en-US" w:eastAsia="zh-CN"/>
              </w:rPr>
              <w:t>1</w:t>
            </w:r>
          </w:p>
        </w:tc>
        <w:tc>
          <w:tcPr>
            <w:tcW w:w="428" w:type="pct"/>
            <w:vAlign w:val="center"/>
          </w:tcPr>
          <w:p w14:paraId="4AB3C861">
            <w:pPr>
              <w:jc w:val="center"/>
              <w:rPr>
                <w:rFonts w:eastAsiaTheme="minorEastAsia"/>
                <w:szCs w:val="21"/>
                <w:highlight w:val="none"/>
              </w:rPr>
            </w:pPr>
            <w:r>
              <w:rPr>
                <w:color w:val="000000"/>
                <w:szCs w:val="21"/>
                <w:highlight w:val="none"/>
              </w:rPr>
              <w:t>5.7</w:t>
            </w:r>
          </w:p>
        </w:tc>
        <w:tc>
          <w:tcPr>
            <w:tcW w:w="428" w:type="pct"/>
            <w:vAlign w:val="center"/>
          </w:tcPr>
          <w:p w14:paraId="2D943BB5">
            <w:pPr>
              <w:jc w:val="center"/>
              <w:rPr>
                <w:rFonts w:eastAsiaTheme="minorEastAsia"/>
                <w:szCs w:val="21"/>
                <w:highlight w:val="none"/>
              </w:rPr>
            </w:pPr>
            <w:r>
              <w:rPr>
                <w:color w:val="000000"/>
                <w:szCs w:val="21"/>
                <w:highlight w:val="none"/>
              </w:rPr>
              <w:t>5.6</w:t>
            </w:r>
          </w:p>
        </w:tc>
        <w:tc>
          <w:tcPr>
            <w:tcW w:w="428" w:type="pct"/>
            <w:vAlign w:val="center"/>
          </w:tcPr>
          <w:p w14:paraId="44B840A1">
            <w:pPr>
              <w:jc w:val="center"/>
              <w:rPr>
                <w:rFonts w:eastAsiaTheme="minorEastAsia"/>
                <w:szCs w:val="21"/>
                <w:highlight w:val="none"/>
              </w:rPr>
            </w:pPr>
            <w:r>
              <w:rPr>
                <w:color w:val="000000"/>
                <w:szCs w:val="21"/>
                <w:highlight w:val="none"/>
              </w:rPr>
              <w:t>5.6</w:t>
            </w:r>
          </w:p>
        </w:tc>
        <w:tc>
          <w:tcPr>
            <w:tcW w:w="928" w:type="pct"/>
            <w:vAlign w:val="bottom"/>
          </w:tcPr>
          <w:p w14:paraId="5BE7E212">
            <w:pPr>
              <w:jc w:val="center"/>
              <w:rPr>
                <w:rFonts w:eastAsiaTheme="minorEastAsia"/>
                <w:color w:val="000000"/>
                <w:szCs w:val="21"/>
                <w:highlight w:val="none"/>
              </w:rPr>
            </w:pPr>
            <w:r>
              <w:rPr>
                <w:color w:val="000000"/>
                <w:sz w:val="22"/>
                <w:szCs w:val="22"/>
                <w:highlight w:val="none"/>
              </w:rPr>
              <w:t xml:space="preserve">5.63 </w:t>
            </w:r>
          </w:p>
        </w:tc>
        <w:tc>
          <w:tcPr>
            <w:tcW w:w="774" w:type="pct"/>
            <w:vMerge w:val="restart"/>
            <w:vAlign w:val="center"/>
          </w:tcPr>
          <w:p w14:paraId="53728908">
            <w:pPr>
              <w:jc w:val="center"/>
              <w:rPr>
                <w:rFonts w:eastAsiaTheme="minorEastAsia"/>
                <w:szCs w:val="21"/>
                <w:highlight w:val="none"/>
              </w:rPr>
            </w:pPr>
            <w:r>
              <w:rPr>
                <w:rFonts w:eastAsiaTheme="minorEastAsia"/>
                <w:szCs w:val="21"/>
                <w:highlight w:val="none"/>
              </w:rPr>
              <w:t>5.53</w:t>
            </w:r>
          </w:p>
        </w:tc>
        <w:tc>
          <w:tcPr>
            <w:tcW w:w="774" w:type="pct"/>
            <w:vMerge w:val="restart"/>
            <w:vAlign w:val="center"/>
          </w:tcPr>
          <w:p w14:paraId="489CB320">
            <w:pPr>
              <w:jc w:val="center"/>
              <w:rPr>
                <w:rFonts w:eastAsiaTheme="minorEastAsia"/>
                <w:szCs w:val="21"/>
                <w:highlight w:val="none"/>
              </w:rPr>
            </w:pPr>
            <w:r>
              <w:rPr>
                <w:rFonts w:eastAsiaTheme="minorEastAsia"/>
                <w:szCs w:val="21"/>
                <w:highlight w:val="none"/>
              </w:rPr>
              <w:t>0.14</w:t>
            </w:r>
          </w:p>
        </w:tc>
      </w:tr>
      <w:tr w14:paraId="5122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continue"/>
            <w:vAlign w:val="center"/>
          </w:tcPr>
          <w:p w14:paraId="69964D5A">
            <w:pPr>
              <w:jc w:val="center"/>
              <w:rPr>
                <w:rFonts w:eastAsiaTheme="minorEastAsia"/>
                <w:szCs w:val="21"/>
                <w:highlight w:val="none"/>
              </w:rPr>
            </w:pPr>
          </w:p>
        </w:tc>
        <w:tc>
          <w:tcPr>
            <w:tcW w:w="1152" w:type="dxa"/>
            <w:vAlign w:val="center"/>
          </w:tcPr>
          <w:p w14:paraId="611AA53C">
            <w:pPr>
              <w:jc w:val="center"/>
              <w:rPr>
                <w:rFonts w:eastAsiaTheme="minorEastAsia"/>
                <w:szCs w:val="21"/>
                <w:highlight w:val="none"/>
              </w:rPr>
            </w:pPr>
            <w:r>
              <w:rPr>
                <w:rFonts w:hint="eastAsia" w:eastAsiaTheme="minorEastAsia"/>
                <w:szCs w:val="21"/>
                <w:highlight w:val="none"/>
                <w:lang w:val="en-US" w:eastAsia="zh-CN"/>
              </w:rPr>
              <w:t>2</w:t>
            </w:r>
          </w:p>
        </w:tc>
        <w:tc>
          <w:tcPr>
            <w:tcW w:w="428" w:type="pct"/>
            <w:vAlign w:val="center"/>
          </w:tcPr>
          <w:p w14:paraId="7CDEC251">
            <w:pPr>
              <w:jc w:val="center"/>
              <w:rPr>
                <w:rFonts w:eastAsiaTheme="minorEastAsia"/>
                <w:szCs w:val="21"/>
                <w:highlight w:val="none"/>
              </w:rPr>
            </w:pPr>
            <w:r>
              <w:rPr>
                <w:color w:val="000000"/>
                <w:szCs w:val="21"/>
                <w:highlight w:val="none"/>
              </w:rPr>
              <w:t>5.4</w:t>
            </w:r>
          </w:p>
        </w:tc>
        <w:tc>
          <w:tcPr>
            <w:tcW w:w="428" w:type="pct"/>
            <w:vAlign w:val="center"/>
          </w:tcPr>
          <w:p w14:paraId="3F4E3960">
            <w:pPr>
              <w:jc w:val="center"/>
              <w:rPr>
                <w:rFonts w:eastAsiaTheme="minorEastAsia"/>
                <w:szCs w:val="21"/>
                <w:highlight w:val="none"/>
              </w:rPr>
            </w:pPr>
            <w:r>
              <w:rPr>
                <w:color w:val="000000"/>
                <w:szCs w:val="21"/>
                <w:highlight w:val="none"/>
              </w:rPr>
              <w:t>5.3</w:t>
            </w:r>
          </w:p>
        </w:tc>
        <w:tc>
          <w:tcPr>
            <w:tcW w:w="428" w:type="pct"/>
            <w:vAlign w:val="center"/>
          </w:tcPr>
          <w:p w14:paraId="348E28F1">
            <w:pPr>
              <w:jc w:val="center"/>
              <w:rPr>
                <w:rFonts w:eastAsiaTheme="minorEastAsia"/>
                <w:szCs w:val="21"/>
                <w:highlight w:val="none"/>
              </w:rPr>
            </w:pPr>
            <w:r>
              <w:rPr>
                <w:color w:val="000000"/>
                <w:szCs w:val="21"/>
                <w:highlight w:val="none"/>
              </w:rPr>
              <w:t>5.6</w:t>
            </w:r>
          </w:p>
        </w:tc>
        <w:tc>
          <w:tcPr>
            <w:tcW w:w="928" w:type="pct"/>
            <w:vAlign w:val="bottom"/>
          </w:tcPr>
          <w:p w14:paraId="6514930E">
            <w:pPr>
              <w:jc w:val="center"/>
              <w:rPr>
                <w:rFonts w:eastAsiaTheme="minorEastAsia"/>
                <w:color w:val="000000"/>
                <w:szCs w:val="21"/>
                <w:highlight w:val="none"/>
              </w:rPr>
            </w:pPr>
            <w:r>
              <w:rPr>
                <w:color w:val="000000"/>
                <w:sz w:val="22"/>
                <w:szCs w:val="22"/>
                <w:highlight w:val="none"/>
              </w:rPr>
              <w:t xml:space="preserve">5.43 </w:t>
            </w:r>
          </w:p>
        </w:tc>
        <w:tc>
          <w:tcPr>
            <w:tcW w:w="774" w:type="pct"/>
            <w:vMerge w:val="continue"/>
            <w:vAlign w:val="center"/>
          </w:tcPr>
          <w:p w14:paraId="16C45BB0">
            <w:pPr>
              <w:jc w:val="center"/>
              <w:rPr>
                <w:rFonts w:eastAsiaTheme="minorEastAsia"/>
                <w:szCs w:val="21"/>
                <w:highlight w:val="none"/>
              </w:rPr>
            </w:pPr>
          </w:p>
        </w:tc>
        <w:tc>
          <w:tcPr>
            <w:tcW w:w="774" w:type="pct"/>
            <w:vMerge w:val="continue"/>
            <w:vAlign w:val="center"/>
          </w:tcPr>
          <w:p w14:paraId="79F89C75">
            <w:pPr>
              <w:jc w:val="center"/>
              <w:rPr>
                <w:rFonts w:eastAsiaTheme="minorEastAsia"/>
                <w:szCs w:val="21"/>
                <w:highlight w:val="none"/>
              </w:rPr>
            </w:pPr>
          </w:p>
        </w:tc>
      </w:tr>
      <w:bookmarkEnd w:id="35"/>
      <w:tr w14:paraId="42D4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restart"/>
            <w:vAlign w:val="center"/>
          </w:tcPr>
          <w:p w14:paraId="025087CA">
            <w:pPr>
              <w:jc w:val="center"/>
              <w:rPr>
                <w:rFonts w:eastAsiaTheme="minorEastAsia"/>
                <w:szCs w:val="21"/>
                <w:highlight w:val="none"/>
              </w:rPr>
            </w:pPr>
            <w:r>
              <w:rPr>
                <w:rFonts w:hint="eastAsia" w:eastAsiaTheme="minorEastAsia"/>
                <w:szCs w:val="21"/>
                <w:highlight w:val="none"/>
              </w:rPr>
              <w:t>7</w:t>
            </w:r>
          </w:p>
        </w:tc>
        <w:tc>
          <w:tcPr>
            <w:tcW w:w="1152" w:type="dxa"/>
            <w:vAlign w:val="center"/>
          </w:tcPr>
          <w:p w14:paraId="6675F46C">
            <w:pPr>
              <w:jc w:val="center"/>
              <w:rPr>
                <w:rFonts w:eastAsiaTheme="minorEastAsia"/>
                <w:szCs w:val="21"/>
                <w:highlight w:val="none"/>
              </w:rPr>
            </w:pPr>
            <w:r>
              <w:rPr>
                <w:rFonts w:hint="eastAsia" w:eastAsiaTheme="minorEastAsia"/>
                <w:szCs w:val="21"/>
                <w:highlight w:val="none"/>
                <w:lang w:val="en-US" w:eastAsia="zh-CN"/>
              </w:rPr>
              <w:t>1</w:t>
            </w:r>
          </w:p>
        </w:tc>
        <w:tc>
          <w:tcPr>
            <w:tcW w:w="428" w:type="pct"/>
            <w:vAlign w:val="center"/>
          </w:tcPr>
          <w:p w14:paraId="562EBB3C">
            <w:pPr>
              <w:jc w:val="center"/>
              <w:rPr>
                <w:rFonts w:eastAsiaTheme="minorEastAsia"/>
                <w:szCs w:val="21"/>
                <w:highlight w:val="none"/>
              </w:rPr>
            </w:pPr>
            <w:r>
              <w:rPr>
                <w:color w:val="000000"/>
                <w:szCs w:val="21"/>
                <w:highlight w:val="none"/>
              </w:rPr>
              <w:t>6.4</w:t>
            </w:r>
          </w:p>
        </w:tc>
        <w:tc>
          <w:tcPr>
            <w:tcW w:w="428" w:type="pct"/>
            <w:vAlign w:val="center"/>
          </w:tcPr>
          <w:p w14:paraId="59D1E222">
            <w:pPr>
              <w:jc w:val="center"/>
              <w:rPr>
                <w:rFonts w:eastAsiaTheme="minorEastAsia"/>
                <w:szCs w:val="21"/>
                <w:highlight w:val="none"/>
              </w:rPr>
            </w:pPr>
            <w:r>
              <w:rPr>
                <w:color w:val="000000"/>
                <w:szCs w:val="21"/>
                <w:highlight w:val="none"/>
              </w:rPr>
              <w:t>5.8</w:t>
            </w:r>
          </w:p>
        </w:tc>
        <w:tc>
          <w:tcPr>
            <w:tcW w:w="428" w:type="pct"/>
            <w:vAlign w:val="center"/>
          </w:tcPr>
          <w:p w14:paraId="63DD1D6C">
            <w:pPr>
              <w:jc w:val="center"/>
              <w:rPr>
                <w:rFonts w:eastAsiaTheme="minorEastAsia"/>
                <w:szCs w:val="21"/>
                <w:highlight w:val="none"/>
              </w:rPr>
            </w:pPr>
            <w:r>
              <w:rPr>
                <w:color w:val="000000"/>
                <w:szCs w:val="21"/>
                <w:highlight w:val="none"/>
              </w:rPr>
              <w:t>5.5</w:t>
            </w:r>
          </w:p>
        </w:tc>
        <w:tc>
          <w:tcPr>
            <w:tcW w:w="928" w:type="pct"/>
            <w:vAlign w:val="bottom"/>
          </w:tcPr>
          <w:p w14:paraId="34BEA7BB">
            <w:pPr>
              <w:jc w:val="center"/>
              <w:rPr>
                <w:rFonts w:eastAsiaTheme="minorEastAsia"/>
                <w:color w:val="000000"/>
                <w:szCs w:val="21"/>
                <w:highlight w:val="none"/>
              </w:rPr>
            </w:pPr>
            <w:r>
              <w:rPr>
                <w:color w:val="000000"/>
                <w:sz w:val="22"/>
                <w:szCs w:val="22"/>
                <w:highlight w:val="none"/>
              </w:rPr>
              <w:t xml:space="preserve">5.90 </w:t>
            </w:r>
          </w:p>
        </w:tc>
        <w:tc>
          <w:tcPr>
            <w:tcW w:w="774" w:type="pct"/>
            <w:vMerge w:val="restart"/>
            <w:vAlign w:val="center"/>
          </w:tcPr>
          <w:p w14:paraId="11356F34">
            <w:pPr>
              <w:jc w:val="center"/>
              <w:rPr>
                <w:rFonts w:eastAsiaTheme="minorEastAsia"/>
                <w:szCs w:val="21"/>
                <w:highlight w:val="none"/>
              </w:rPr>
            </w:pPr>
            <w:r>
              <w:rPr>
                <w:rFonts w:eastAsiaTheme="minorEastAsia"/>
                <w:szCs w:val="21"/>
                <w:highlight w:val="none"/>
              </w:rPr>
              <w:t>5.98</w:t>
            </w:r>
          </w:p>
        </w:tc>
        <w:tc>
          <w:tcPr>
            <w:tcW w:w="774" w:type="pct"/>
            <w:vMerge w:val="restart"/>
            <w:vAlign w:val="center"/>
          </w:tcPr>
          <w:p w14:paraId="49F7CF31">
            <w:pPr>
              <w:jc w:val="center"/>
              <w:rPr>
                <w:rFonts w:eastAsiaTheme="minorEastAsia"/>
                <w:szCs w:val="21"/>
                <w:highlight w:val="none"/>
              </w:rPr>
            </w:pPr>
            <w:r>
              <w:rPr>
                <w:rFonts w:eastAsiaTheme="minorEastAsia"/>
                <w:szCs w:val="21"/>
                <w:highlight w:val="none"/>
              </w:rPr>
              <w:t>0.12</w:t>
            </w:r>
          </w:p>
        </w:tc>
      </w:tr>
      <w:tr w14:paraId="5E29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Merge w:val="continue"/>
            <w:vAlign w:val="center"/>
          </w:tcPr>
          <w:p w14:paraId="7F408CC6">
            <w:pPr>
              <w:jc w:val="center"/>
              <w:rPr>
                <w:rFonts w:eastAsiaTheme="minorEastAsia"/>
                <w:szCs w:val="21"/>
                <w:highlight w:val="none"/>
              </w:rPr>
            </w:pPr>
          </w:p>
        </w:tc>
        <w:tc>
          <w:tcPr>
            <w:tcW w:w="1152" w:type="dxa"/>
            <w:vAlign w:val="center"/>
          </w:tcPr>
          <w:p w14:paraId="6A657180">
            <w:pPr>
              <w:jc w:val="center"/>
              <w:rPr>
                <w:rFonts w:eastAsiaTheme="minorEastAsia"/>
                <w:szCs w:val="21"/>
                <w:highlight w:val="none"/>
              </w:rPr>
            </w:pPr>
            <w:r>
              <w:rPr>
                <w:rFonts w:hint="eastAsia" w:eastAsiaTheme="minorEastAsia"/>
                <w:szCs w:val="21"/>
                <w:highlight w:val="none"/>
                <w:lang w:val="en-US" w:eastAsia="zh-CN"/>
              </w:rPr>
              <w:t>2</w:t>
            </w:r>
          </w:p>
        </w:tc>
        <w:tc>
          <w:tcPr>
            <w:tcW w:w="428" w:type="pct"/>
            <w:vAlign w:val="center"/>
          </w:tcPr>
          <w:p w14:paraId="50C03927">
            <w:pPr>
              <w:jc w:val="center"/>
              <w:rPr>
                <w:rFonts w:eastAsiaTheme="minorEastAsia"/>
                <w:szCs w:val="21"/>
                <w:highlight w:val="none"/>
              </w:rPr>
            </w:pPr>
            <w:r>
              <w:rPr>
                <w:color w:val="000000"/>
                <w:szCs w:val="21"/>
                <w:highlight w:val="none"/>
              </w:rPr>
              <w:t>6.4</w:t>
            </w:r>
          </w:p>
        </w:tc>
        <w:tc>
          <w:tcPr>
            <w:tcW w:w="428" w:type="pct"/>
            <w:vAlign w:val="center"/>
          </w:tcPr>
          <w:p w14:paraId="795D7E75">
            <w:pPr>
              <w:jc w:val="center"/>
              <w:rPr>
                <w:rFonts w:eastAsiaTheme="minorEastAsia"/>
                <w:szCs w:val="21"/>
                <w:highlight w:val="none"/>
              </w:rPr>
            </w:pPr>
            <w:r>
              <w:rPr>
                <w:color w:val="000000"/>
                <w:szCs w:val="21"/>
                <w:highlight w:val="none"/>
              </w:rPr>
              <w:t>5.0</w:t>
            </w:r>
          </w:p>
        </w:tc>
        <w:tc>
          <w:tcPr>
            <w:tcW w:w="428" w:type="pct"/>
            <w:vAlign w:val="center"/>
          </w:tcPr>
          <w:p w14:paraId="12C940EC">
            <w:pPr>
              <w:jc w:val="center"/>
              <w:rPr>
                <w:rFonts w:eastAsiaTheme="minorEastAsia"/>
                <w:szCs w:val="21"/>
                <w:highlight w:val="none"/>
              </w:rPr>
            </w:pPr>
            <w:r>
              <w:rPr>
                <w:color w:val="000000"/>
                <w:szCs w:val="21"/>
                <w:highlight w:val="none"/>
              </w:rPr>
              <w:t>6.8</w:t>
            </w:r>
          </w:p>
        </w:tc>
        <w:tc>
          <w:tcPr>
            <w:tcW w:w="928" w:type="pct"/>
            <w:vAlign w:val="bottom"/>
          </w:tcPr>
          <w:p w14:paraId="4DCC5F4C">
            <w:pPr>
              <w:jc w:val="center"/>
              <w:rPr>
                <w:rFonts w:eastAsiaTheme="minorEastAsia"/>
                <w:color w:val="000000"/>
                <w:szCs w:val="21"/>
                <w:highlight w:val="none"/>
              </w:rPr>
            </w:pPr>
            <w:r>
              <w:rPr>
                <w:color w:val="000000"/>
                <w:sz w:val="22"/>
                <w:szCs w:val="22"/>
                <w:highlight w:val="none"/>
              </w:rPr>
              <w:t xml:space="preserve">6.07 </w:t>
            </w:r>
          </w:p>
        </w:tc>
        <w:tc>
          <w:tcPr>
            <w:tcW w:w="774" w:type="pct"/>
            <w:vMerge w:val="continue"/>
            <w:vAlign w:val="center"/>
          </w:tcPr>
          <w:p w14:paraId="3470BDFA">
            <w:pPr>
              <w:jc w:val="center"/>
              <w:rPr>
                <w:rFonts w:eastAsiaTheme="minorEastAsia"/>
                <w:szCs w:val="21"/>
                <w:highlight w:val="none"/>
              </w:rPr>
            </w:pPr>
          </w:p>
        </w:tc>
        <w:tc>
          <w:tcPr>
            <w:tcW w:w="774" w:type="pct"/>
            <w:vMerge w:val="continue"/>
            <w:vAlign w:val="center"/>
          </w:tcPr>
          <w:p w14:paraId="6434F1B7">
            <w:pPr>
              <w:jc w:val="center"/>
              <w:rPr>
                <w:rFonts w:eastAsiaTheme="minorEastAsia"/>
                <w:szCs w:val="21"/>
                <w:highlight w:val="none"/>
              </w:rPr>
            </w:pPr>
          </w:p>
        </w:tc>
      </w:tr>
    </w:tbl>
    <w:p w14:paraId="6C4089EF">
      <w:pPr>
        <w:jc w:val="center"/>
        <w:rPr>
          <w:highlight w:val="none"/>
        </w:rPr>
      </w:pPr>
    </w:p>
    <w:p w14:paraId="79DFA67A">
      <w:pPr>
        <w:jc w:val="center"/>
        <w:rPr>
          <w:rFonts w:eastAsia="黑体"/>
          <w:highlight w:val="none"/>
        </w:rPr>
      </w:pPr>
      <w:r>
        <w:rPr>
          <w:rFonts w:eastAsia="黑体"/>
          <w:highlight w:val="none"/>
        </w:rPr>
        <w:t>表3样品C的ITP结果和补充统计数据</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1150"/>
        <w:gridCol w:w="800"/>
        <w:gridCol w:w="800"/>
        <w:gridCol w:w="800"/>
        <w:gridCol w:w="1720"/>
        <w:gridCol w:w="1434"/>
        <w:gridCol w:w="1432"/>
      </w:tblGrid>
      <w:tr w14:paraId="28025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restart"/>
            <w:vAlign w:val="center"/>
          </w:tcPr>
          <w:p w14:paraId="24D12797">
            <w:pPr>
              <w:jc w:val="center"/>
              <w:rPr>
                <w:rFonts w:eastAsiaTheme="minorEastAsia"/>
                <w:szCs w:val="21"/>
                <w:highlight w:val="none"/>
              </w:rPr>
            </w:pPr>
            <w:r>
              <w:rPr>
                <w:rFonts w:hint="eastAsia" w:eastAsia="仿宋"/>
                <w:kern w:val="0"/>
                <w:szCs w:val="21"/>
                <w:highlight w:val="none"/>
              </w:rPr>
              <w:t>实验室</w:t>
            </w:r>
            <w:r>
              <w:rPr>
                <w:rFonts w:eastAsia="仿宋"/>
                <w:kern w:val="0"/>
                <w:szCs w:val="21"/>
                <w:highlight w:val="none"/>
              </w:rPr>
              <w:t>p,p=7</w:t>
            </w:r>
          </w:p>
        </w:tc>
        <w:tc>
          <w:tcPr>
            <w:tcW w:w="619" w:type="pct"/>
            <w:vMerge w:val="restart"/>
            <w:vAlign w:val="center"/>
          </w:tcPr>
          <w:p w14:paraId="06E889AD">
            <w:pPr>
              <w:jc w:val="center"/>
              <w:rPr>
                <w:rFonts w:eastAsiaTheme="minorEastAsia"/>
                <w:szCs w:val="21"/>
                <w:highlight w:val="none"/>
              </w:rPr>
            </w:pPr>
            <w:r>
              <w:rPr>
                <w:rFonts w:hint="eastAsia" w:eastAsia="仿宋"/>
                <w:kern w:val="0"/>
                <w:szCs w:val="21"/>
                <w:highlight w:val="none"/>
              </w:rPr>
              <w:t>天</w:t>
            </w:r>
            <w:r>
              <w:rPr>
                <w:rFonts w:eastAsia="仿宋"/>
                <w:kern w:val="0"/>
                <w:szCs w:val="21"/>
                <w:highlight w:val="none"/>
              </w:rPr>
              <w:t>q</w:t>
            </w:r>
            <w:r>
              <w:rPr>
                <w:rFonts w:hint="eastAsia" w:eastAsia="仿宋"/>
                <w:kern w:val="0"/>
                <w:szCs w:val="21"/>
                <w:highlight w:val="none"/>
              </w:rPr>
              <w:t>，</w:t>
            </w:r>
            <w:r>
              <w:rPr>
                <w:rFonts w:eastAsia="仿宋"/>
                <w:kern w:val="0"/>
                <w:szCs w:val="21"/>
                <w:highlight w:val="none"/>
              </w:rPr>
              <w:t>q=2</w:t>
            </w:r>
          </w:p>
        </w:tc>
        <w:tc>
          <w:tcPr>
            <w:tcW w:w="1292" w:type="pct"/>
            <w:gridSpan w:val="3"/>
            <w:vAlign w:val="center"/>
          </w:tcPr>
          <w:p w14:paraId="21F65FB5">
            <w:pPr>
              <w:jc w:val="center"/>
              <w:rPr>
                <w:rFonts w:eastAsiaTheme="minorEastAsia"/>
                <w:szCs w:val="21"/>
                <w:highlight w:val="none"/>
              </w:rPr>
            </w:pPr>
            <w:r>
              <w:rPr>
                <w:rFonts w:eastAsiaTheme="minorEastAsia"/>
                <w:szCs w:val="21"/>
                <w:highlight w:val="none"/>
              </w:rPr>
              <w:t>试验结果</w:t>
            </w:r>
          </w:p>
        </w:tc>
        <w:tc>
          <w:tcPr>
            <w:tcW w:w="926" w:type="pct"/>
            <w:vAlign w:val="center"/>
          </w:tcPr>
          <w:p w14:paraId="03C25C87">
            <w:pPr>
              <w:jc w:val="center"/>
              <w:rPr>
                <w:rFonts w:eastAsiaTheme="minorEastAsia"/>
                <w:szCs w:val="21"/>
                <w:highlight w:val="none"/>
              </w:rPr>
            </w:pPr>
            <w:r>
              <w:rPr>
                <w:rFonts w:eastAsiaTheme="minorEastAsia"/>
                <w:szCs w:val="21"/>
                <w:highlight w:val="none"/>
              </w:rPr>
              <w:t>数据平均值</w:t>
            </w:r>
          </w:p>
        </w:tc>
        <w:tc>
          <w:tcPr>
            <w:tcW w:w="772" w:type="pct"/>
            <w:vAlign w:val="center"/>
          </w:tcPr>
          <w:p w14:paraId="52645C3E">
            <w:pPr>
              <w:jc w:val="center"/>
              <w:rPr>
                <w:rFonts w:eastAsiaTheme="minorEastAsia"/>
                <w:szCs w:val="21"/>
                <w:highlight w:val="none"/>
              </w:rPr>
            </w:pPr>
            <w:r>
              <w:rPr>
                <w:rFonts w:eastAsiaTheme="minorEastAsia"/>
                <w:szCs w:val="21"/>
                <w:highlight w:val="none"/>
              </w:rPr>
              <w:t>天平均值</w:t>
            </w:r>
          </w:p>
        </w:tc>
        <w:tc>
          <w:tcPr>
            <w:tcW w:w="771" w:type="pct"/>
            <w:vAlign w:val="center"/>
          </w:tcPr>
          <w:p w14:paraId="6F338F03">
            <w:pPr>
              <w:jc w:val="center"/>
              <w:rPr>
                <w:rFonts w:eastAsiaTheme="minorEastAsia"/>
                <w:szCs w:val="21"/>
                <w:highlight w:val="none"/>
              </w:rPr>
            </w:pPr>
            <w:r>
              <w:rPr>
                <w:rFonts w:eastAsiaTheme="minorEastAsia"/>
                <w:szCs w:val="21"/>
                <w:highlight w:val="none"/>
              </w:rPr>
              <w:t>天标准差</w:t>
            </w:r>
          </w:p>
        </w:tc>
      </w:tr>
      <w:tr w14:paraId="5B6D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continue"/>
            <w:vAlign w:val="center"/>
          </w:tcPr>
          <w:p w14:paraId="7C551CDC">
            <w:pPr>
              <w:jc w:val="center"/>
              <w:rPr>
                <w:rFonts w:eastAsiaTheme="minorEastAsia"/>
                <w:szCs w:val="21"/>
                <w:highlight w:val="none"/>
              </w:rPr>
            </w:pPr>
          </w:p>
        </w:tc>
        <w:tc>
          <w:tcPr>
            <w:tcW w:w="619" w:type="pct"/>
            <w:vMerge w:val="continue"/>
            <w:vAlign w:val="center"/>
          </w:tcPr>
          <w:p w14:paraId="684111C4">
            <w:pPr>
              <w:jc w:val="center"/>
              <w:rPr>
                <w:rFonts w:eastAsiaTheme="minorEastAsia"/>
                <w:szCs w:val="21"/>
                <w:highlight w:val="none"/>
              </w:rPr>
            </w:pPr>
          </w:p>
        </w:tc>
        <w:tc>
          <w:tcPr>
            <w:tcW w:w="431" w:type="pct"/>
            <w:vAlign w:val="center"/>
          </w:tcPr>
          <w:p w14:paraId="235370FC">
            <w:pPr>
              <w:jc w:val="center"/>
              <w:rPr>
                <w:rFonts w:eastAsiaTheme="minorEastAsia"/>
                <w:szCs w:val="21"/>
                <w:highlight w:val="none"/>
              </w:rPr>
            </w:pPr>
            <w:r>
              <w:rPr>
                <w:rFonts w:eastAsiaTheme="minorEastAsia"/>
                <w:szCs w:val="21"/>
                <w:highlight w:val="none"/>
              </w:rPr>
              <w:t>M1</w:t>
            </w:r>
          </w:p>
        </w:tc>
        <w:tc>
          <w:tcPr>
            <w:tcW w:w="431" w:type="pct"/>
            <w:vAlign w:val="center"/>
          </w:tcPr>
          <w:p w14:paraId="532232C9">
            <w:pPr>
              <w:jc w:val="center"/>
              <w:rPr>
                <w:rFonts w:eastAsiaTheme="minorEastAsia"/>
                <w:szCs w:val="21"/>
                <w:highlight w:val="none"/>
              </w:rPr>
            </w:pPr>
            <w:r>
              <w:rPr>
                <w:rFonts w:eastAsiaTheme="minorEastAsia"/>
                <w:szCs w:val="21"/>
                <w:highlight w:val="none"/>
              </w:rPr>
              <w:t>M2</w:t>
            </w:r>
          </w:p>
        </w:tc>
        <w:tc>
          <w:tcPr>
            <w:tcW w:w="431" w:type="pct"/>
            <w:vAlign w:val="center"/>
          </w:tcPr>
          <w:p w14:paraId="62032E8C">
            <w:pPr>
              <w:jc w:val="center"/>
              <w:rPr>
                <w:rFonts w:eastAsiaTheme="minorEastAsia"/>
                <w:szCs w:val="21"/>
                <w:highlight w:val="none"/>
              </w:rPr>
            </w:pPr>
            <w:r>
              <w:rPr>
                <w:rFonts w:eastAsiaTheme="minorEastAsia"/>
                <w:szCs w:val="21"/>
                <w:highlight w:val="none"/>
              </w:rPr>
              <w:t>M3</w:t>
            </w:r>
          </w:p>
        </w:tc>
        <w:tc>
          <w:tcPr>
            <w:tcW w:w="926" w:type="pct"/>
            <w:vAlign w:val="center"/>
          </w:tcPr>
          <w:p w14:paraId="2F1D8F6C">
            <w:pPr>
              <w:jc w:val="center"/>
              <w:rPr>
                <w:rFonts w:eastAsiaTheme="minorEastAsia"/>
                <w:szCs w:val="21"/>
                <w:highlight w:val="none"/>
              </w:rPr>
            </w:pPr>
            <m:oMath>
              <m:bar>
                <m:barPr>
                  <m:pos m:val="top"/>
                  <m:ctrlPr>
                    <w:rPr>
                      <w:rFonts w:ascii="Cambria Math" w:hAnsi="Cambria Math" w:eastAsiaTheme="minorEastAsia"/>
                      <w:szCs w:val="21"/>
                      <w:highlight w:val="none"/>
                    </w:rPr>
                  </m:ctrlPr>
                </m:barPr>
                <m:e>
                  <m:r>
                    <m:rPr/>
                    <w:rPr>
                      <w:rFonts w:ascii="Cambria Math" w:hAnsi="Cambria Math" w:eastAsiaTheme="minorEastAsia"/>
                      <w:szCs w:val="21"/>
                      <w:highlight w:val="none"/>
                    </w:rPr>
                    <m:t>y</m:t>
                  </m:r>
                  <m:ctrlPr>
                    <w:rPr>
                      <w:rFonts w:ascii="Cambria Math" w:hAnsi="Cambria Math" w:eastAsiaTheme="minorEastAsia"/>
                      <w:szCs w:val="21"/>
                      <w:highlight w:val="none"/>
                    </w:rPr>
                  </m:ctrlPr>
                </m:e>
              </m:bar>
            </m:oMath>
            <w:r>
              <w:rPr>
                <w:rFonts w:eastAsiaTheme="minorEastAsia"/>
                <w:szCs w:val="21"/>
                <w:highlight w:val="none"/>
                <w:vertAlign w:val="subscript"/>
              </w:rPr>
              <w:t>ij·</w:t>
            </w:r>
          </w:p>
        </w:tc>
        <w:tc>
          <w:tcPr>
            <w:tcW w:w="772" w:type="pct"/>
            <w:vAlign w:val="center"/>
          </w:tcPr>
          <w:p w14:paraId="1C13DE8E">
            <w:pPr>
              <w:jc w:val="center"/>
              <w:rPr>
                <w:rFonts w:eastAsiaTheme="minorEastAsia"/>
                <w:szCs w:val="21"/>
                <w:highlight w:val="none"/>
              </w:rPr>
            </w:pPr>
            <m:oMath>
              <m:bar>
                <m:barPr>
                  <m:pos m:val="top"/>
                  <m:ctrlPr>
                    <w:rPr>
                      <w:rFonts w:ascii="Cambria Math" w:hAnsi="Cambria Math" w:eastAsiaTheme="minorEastAsia"/>
                      <w:szCs w:val="21"/>
                      <w:highlight w:val="none"/>
                    </w:rPr>
                  </m:ctrlPr>
                </m:barPr>
                <m:e>
                  <m:r>
                    <m:rPr/>
                    <w:rPr>
                      <w:rFonts w:ascii="Cambria Math" w:hAnsi="Cambria Math" w:eastAsiaTheme="minorEastAsia"/>
                      <w:szCs w:val="21"/>
                      <w:highlight w:val="none"/>
                    </w:rPr>
                    <m:t>y</m:t>
                  </m:r>
                  <m:ctrlPr>
                    <w:rPr>
                      <w:rFonts w:ascii="Cambria Math" w:hAnsi="Cambria Math" w:eastAsiaTheme="minorEastAsia"/>
                      <w:szCs w:val="21"/>
                      <w:highlight w:val="none"/>
                    </w:rPr>
                  </m:ctrlPr>
                </m:e>
              </m:bar>
            </m:oMath>
            <w:r>
              <w:rPr>
                <w:rFonts w:eastAsiaTheme="minorEastAsia"/>
                <w:szCs w:val="21"/>
                <w:highlight w:val="none"/>
                <w:vertAlign w:val="subscript"/>
              </w:rPr>
              <w:t>i··</w:t>
            </w:r>
          </w:p>
        </w:tc>
        <w:tc>
          <w:tcPr>
            <w:tcW w:w="771" w:type="pct"/>
            <w:vAlign w:val="center"/>
          </w:tcPr>
          <w:p w14:paraId="414DA987">
            <w:pPr>
              <w:jc w:val="center"/>
              <w:rPr>
                <w:rFonts w:eastAsiaTheme="minorEastAsia"/>
                <w:szCs w:val="21"/>
                <w:highlight w:val="none"/>
              </w:rPr>
            </w:pPr>
            <w:r>
              <w:rPr>
                <w:rFonts w:eastAsiaTheme="minorEastAsia"/>
                <w:szCs w:val="21"/>
                <w:highlight w:val="none"/>
              </w:rPr>
              <w:t>s</w:t>
            </w:r>
            <w:r>
              <w:rPr>
                <w:rFonts w:eastAsiaTheme="minorEastAsia"/>
                <w:szCs w:val="21"/>
                <w:highlight w:val="none"/>
                <w:vertAlign w:val="subscript"/>
              </w:rPr>
              <w:t>i</w:t>
            </w:r>
          </w:p>
        </w:tc>
      </w:tr>
      <w:tr w14:paraId="3486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restart"/>
            <w:vAlign w:val="center"/>
          </w:tcPr>
          <w:p w14:paraId="13B59016">
            <w:pPr>
              <w:jc w:val="center"/>
              <w:rPr>
                <w:rFonts w:eastAsiaTheme="minorEastAsia"/>
                <w:szCs w:val="21"/>
                <w:highlight w:val="none"/>
              </w:rPr>
            </w:pPr>
            <w:bookmarkStart w:id="36" w:name="_Hlk207354019"/>
            <w:r>
              <w:rPr>
                <w:rFonts w:hint="eastAsia" w:eastAsiaTheme="minorEastAsia"/>
                <w:szCs w:val="21"/>
                <w:highlight w:val="none"/>
              </w:rPr>
              <w:t>1</w:t>
            </w:r>
          </w:p>
        </w:tc>
        <w:tc>
          <w:tcPr>
            <w:tcW w:w="1150" w:type="dxa"/>
            <w:vAlign w:val="center"/>
          </w:tcPr>
          <w:p w14:paraId="376547D3">
            <w:pPr>
              <w:jc w:val="center"/>
              <w:rPr>
                <w:rFonts w:eastAsiaTheme="minorEastAsia"/>
                <w:szCs w:val="21"/>
                <w:highlight w:val="none"/>
              </w:rPr>
            </w:pPr>
            <w:r>
              <w:rPr>
                <w:rFonts w:hint="eastAsia" w:eastAsiaTheme="minorEastAsia"/>
                <w:szCs w:val="21"/>
                <w:highlight w:val="none"/>
                <w:lang w:val="en-US" w:eastAsia="zh-CN"/>
              </w:rPr>
              <w:t>1</w:t>
            </w:r>
          </w:p>
        </w:tc>
        <w:tc>
          <w:tcPr>
            <w:tcW w:w="431" w:type="pct"/>
            <w:vAlign w:val="center"/>
          </w:tcPr>
          <w:p w14:paraId="43814D75">
            <w:pPr>
              <w:jc w:val="center"/>
              <w:rPr>
                <w:rFonts w:eastAsiaTheme="minorEastAsia"/>
                <w:color w:val="000000"/>
                <w:szCs w:val="21"/>
                <w:highlight w:val="none"/>
              </w:rPr>
            </w:pPr>
            <w:r>
              <w:rPr>
                <w:color w:val="000000"/>
                <w:szCs w:val="21"/>
                <w:highlight w:val="none"/>
              </w:rPr>
              <w:t>14.1</w:t>
            </w:r>
          </w:p>
        </w:tc>
        <w:tc>
          <w:tcPr>
            <w:tcW w:w="431" w:type="pct"/>
            <w:vAlign w:val="center"/>
          </w:tcPr>
          <w:p w14:paraId="5285593E">
            <w:pPr>
              <w:jc w:val="center"/>
              <w:rPr>
                <w:rFonts w:eastAsiaTheme="minorEastAsia"/>
                <w:color w:val="000000"/>
                <w:szCs w:val="21"/>
                <w:highlight w:val="none"/>
              </w:rPr>
            </w:pPr>
            <w:r>
              <w:rPr>
                <w:color w:val="000000"/>
                <w:szCs w:val="21"/>
                <w:highlight w:val="none"/>
              </w:rPr>
              <w:t>14.8</w:t>
            </w:r>
          </w:p>
        </w:tc>
        <w:tc>
          <w:tcPr>
            <w:tcW w:w="431" w:type="pct"/>
            <w:vAlign w:val="center"/>
          </w:tcPr>
          <w:p w14:paraId="60BD9443">
            <w:pPr>
              <w:jc w:val="center"/>
              <w:rPr>
                <w:rFonts w:eastAsiaTheme="minorEastAsia"/>
                <w:color w:val="000000"/>
                <w:szCs w:val="21"/>
                <w:highlight w:val="none"/>
              </w:rPr>
            </w:pPr>
            <w:r>
              <w:rPr>
                <w:color w:val="000000"/>
                <w:szCs w:val="21"/>
                <w:highlight w:val="none"/>
              </w:rPr>
              <w:t>14.5</w:t>
            </w:r>
          </w:p>
        </w:tc>
        <w:tc>
          <w:tcPr>
            <w:tcW w:w="926" w:type="pct"/>
            <w:vAlign w:val="bottom"/>
          </w:tcPr>
          <w:p w14:paraId="63EDA807">
            <w:pPr>
              <w:jc w:val="center"/>
              <w:rPr>
                <w:rFonts w:eastAsiaTheme="minorEastAsia"/>
                <w:color w:val="000000"/>
                <w:szCs w:val="21"/>
                <w:highlight w:val="none"/>
              </w:rPr>
            </w:pPr>
            <w:r>
              <w:rPr>
                <w:color w:val="000000"/>
                <w:sz w:val="22"/>
                <w:szCs w:val="22"/>
                <w:highlight w:val="none"/>
              </w:rPr>
              <w:t xml:space="preserve">14.47 </w:t>
            </w:r>
          </w:p>
        </w:tc>
        <w:tc>
          <w:tcPr>
            <w:tcW w:w="772" w:type="pct"/>
            <w:vMerge w:val="restart"/>
            <w:vAlign w:val="center"/>
          </w:tcPr>
          <w:p w14:paraId="2F53FEA5">
            <w:pPr>
              <w:jc w:val="center"/>
              <w:rPr>
                <w:rFonts w:eastAsiaTheme="minorEastAsia"/>
                <w:szCs w:val="21"/>
                <w:highlight w:val="none"/>
              </w:rPr>
            </w:pPr>
            <w:r>
              <w:rPr>
                <w:rFonts w:eastAsiaTheme="minorEastAsia"/>
                <w:szCs w:val="21"/>
                <w:highlight w:val="none"/>
              </w:rPr>
              <w:t>14.87</w:t>
            </w:r>
          </w:p>
        </w:tc>
        <w:tc>
          <w:tcPr>
            <w:tcW w:w="771" w:type="pct"/>
            <w:vMerge w:val="restart"/>
            <w:vAlign w:val="center"/>
          </w:tcPr>
          <w:p w14:paraId="445CBB36">
            <w:pPr>
              <w:jc w:val="center"/>
              <w:rPr>
                <w:rFonts w:eastAsiaTheme="minorEastAsia"/>
                <w:szCs w:val="21"/>
                <w:highlight w:val="none"/>
              </w:rPr>
            </w:pPr>
            <w:r>
              <w:rPr>
                <w:rFonts w:eastAsiaTheme="minorEastAsia"/>
                <w:szCs w:val="21"/>
                <w:highlight w:val="none"/>
              </w:rPr>
              <w:t>0.57</w:t>
            </w:r>
          </w:p>
        </w:tc>
      </w:tr>
      <w:tr w14:paraId="565B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continue"/>
            <w:vAlign w:val="center"/>
          </w:tcPr>
          <w:p w14:paraId="33836F84">
            <w:pPr>
              <w:jc w:val="center"/>
              <w:rPr>
                <w:rFonts w:eastAsiaTheme="minorEastAsia"/>
                <w:szCs w:val="21"/>
                <w:highlight w:val="none"/>
              </w:rPr>
            </w:pPr>
          </w:p>
        </w:tc>
        <w:tc>
          <w:tcPr>
            <w:tcW w:w="1150" w:type="dxa"/>
            <w:vAlign w:val="center"/>
          </w:tcPr>
          <w:p w14:paraId="5459E9C7">
            <w:pPr>
              <w:jc w:val="center"/>
              <w:rPr>
                <w:rFonts w:eastAsiaTheme="minorEastAsia"/>
                <w:szCs w:val="21"/>
                <w:highlight w:val="none"/>
              </w:rPr>
            </w:pPr>
            <w:r>
              <w:rPr>
                <w:rFonts w:hint="eastAsia" w:eastAsiaTheme="minorEastAsia"/>
                <w:szCs w:val="21"/>
                <w:highlight w:val="none"/>
                <w:lang w:val="en-US" w:eastAsia="zh-CN"/>
              </w:rPr>
              <w:t>2</w:t>
            </w:r>
          </w:p>
        </w:tc>
        <w:tc>
          <w:tcPr>
            <w:tcW w:w="431" w:type="pct"/>
            <w:vAlign w:val="center"/>
          </w:tcPr>
          <w:p w14:paraId="186A546E">
            <w:pPr>
              <w:jc w:val="center"/>
              <w:rPr>
                <w:rFonts w:eastAsiaTheme="minorEastAsia"/>
                <w:color w:val="000000"/>
                <w:szCs w:val="21"/>
                <w:highlight w:val="none"/>
              </w:rPr>
            </w:pPr>
            <w:r>
              <w:rPr>
                <w:color w:val="000000"/>
                <w:szCs w:val="21"/>
                <w:highlight w:val="none"/>
              </w:rPr>
              <w:t>15.1</w:t>
            </w:r>
          </w:p>
        </w:tc>
        <w:tc>
          <w:tcPr>
            <w:tcW w:w="431" w:type="pct"/>
            <w:vAlign w:val="center"/>
          </w:tcPr>
          <w:p w14:paraId="4235D155">
            <w:pPr>
              <w:jc w:val="center"/>
              <w:rPr>
                <w:rFonts w:eastAsiaTheme="minorEastAsia"/>
                <w:color w:val="000000"/>
                <w:szCs w:val="21"/>
                <w:highlight w:val="none"/>
              </w:rPr>
            </w:pPr>
            <w:r>
              <w:rPr>
                <w:color w:val="000000"/>
                <w:szCs w:val="21"/>
                <w:highlight w:val="none"/>
              </w:rPr>
              <w:t>15.3</w:t>
            </w:r>
          </w:p>
        </w:tc>
        <w:tc>
          <w:tcPr>
            <w:tcW w:w="431" w:type="pct"/>
            <w:vAlign w:val="center"/>
          </w:tcPr>
          <w:p w14:paraId="25AC8DC3">
            <w:pPr>
              <w:jc w:val="center"/>
              <w:rPr>
                <w:rFonts w:eastAsiaTheme="minorEastAsia"/>
                <w:color w:val="000000"/>
                <w:szCs w:val="21"/>
                <w:highlight w:val="none"/>
              </w:rPr>
            </w:pPr>
            <w:r>
              <w:rPr>
                <w:color w:val="000000"/>
                <w:szCs w:val="21"/>
                <w:highlight w:val="none"/>
              </w:rPr>
              <w:t>15.4</w:t>
            </w:r>
          </w:p>
        </w:tc>
        <w:tc>
          <w:tcPr>
            <w:tcW w:w="926" w:type="pct"/>
            <w:vAlign w:val="bottom"/>
          </w:tcPr>
          <w:p w14:paraId="67C72A2F">
            <w:pPr>
              <w:jc w:val="center"/>
              <w:rPr>
                <w:rFonts w:eastAsiaTheme="minorEastAsia"/>
                <w:color w:val="000000"/>
                <w:szCs w:val="21"/>
                <w:highlight w:val="none"/>
              </w:rPr>
            </w:pPr>
            <w:r>
              <w:rPr>
                <w:color w:val="000000"/>
                <w:sz w:val="22"/>
                <w:szCs w:val="22"/>
                <w:highlight w:val="none"/>
              </w:rPr>
              <w:t xml:space="preserve">15.27 </w:t>
            </w:r>
          </w:p>
        </w:tc>
        <w:tc>
          <w:tcPr>
            <w:tcW w:w="772" w:type="pct"/>
            <w:vMerge w:val="continue"/>
            <w:vAlign w:val="center"/>
          </w:tcPr>
          <w:p w14:paraId="5EAA3DB1">
            <w:pPr>
              <w:jc w:val="center"/>
              <w:rPr>
                <w:rFonts w:eastAsiaTheme="minorEastAsia"/>
                <w:szCs w:val="21"/>
                <w:highlight w:val="none"/>
              </w:rPr>
            </w:pPr>
          </w:p>
        </w:tc>
        <w:tc>
          <w:tcPr>
            <w:tcW w:w="771" w:type="pct"/>
            <w:vMerge w:val="continue"/>
            <w:vAlign w:val="center"/>
          </w:tcPr>
          <w:p w14:paraId="440D895D">
            <w:pPr>
              <w:jc w:val="center"/>
              <w:rPr>
                <w:rFonts w:eastAsiaTheme="minorEastAsia"/>
                <w:szCs w:val="21"/>
                <w:highlight w:val="none"/>
              </w:rPr>
            </w:pPr>
          </w:p>
        </w:tc>
      </w:tr>
      <w:tr w14:paraId="756A4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restart"/>
            <w:vAlign w:val="center"/>
          </w:tcPr>
          <w:p w14:paraId="13640BD1">
            <w:pPr>
              <w:jc w:val="center"/>
              <w:rPr>
                <w:rFonts w:eastAsiaTheme="minorEastAsia"/>
                <w:szCs w:val="21"/>
                <w:highlight w:val="none"/>
              </w:rPr>
            </w:pPr>
            <w:r>
              <w:rPr>
                <w:rFonts w:hint="eastAsia" w:eastAsiaTheme="minorEastAsia"/>
                <w:szCs w:val="21"/>
                <w:highlight w:val="none"/>
              </w:rPr>
              <w:t>2</w:t>
            </w:r>
          </w:p>
        </w:tc>
        <w:tc>
          <w:tcPr>
            <w:tcW w:w="1150" w:type="dxa"/>
            <w:vAlign w:val="center"/>
          </w:tcPr>
          <w:p w14:paraId="0025F9EA">
            <w:pPr>
              <w:jc w:val="center"/>
              <w:rPr>
                <w:rFonts w:eastAsiaTheme="minorEastAsia"/>
                <w:szCs w:val="21"/>
                <w:highlight w:val="none"/>
              </w:rPr>
            </w:pPr>
            <w:r>
              <w:rPr>
                <w:rFonts w:hint="eastAsia" w:eastAsiaTheme="minorEastAsia"/>
                <w:szCs w:val="21"/>
                <w:highlight w:val="none"/>
                <w:lang w:val="en-US" w:eastAsia="zh-CN"/>
              </w:rPr>
              <w:t>1</w:t>
            </w:r>
          </w:p>
        </w:tc>
        <w:tc>
          <w:tcPr>
            <w:tcW w:w="431" w:type="pct"/>
            <w:vAlign w:val="center"/>
          </w:tcPr>
          <w:p w14:paraId="4BF14732">
            <w:pPr>
              <w:jc w:val="center"/>
              <w:rPr>
                <w:rFonts w:eastAsiaTheme="minorEastAsia"/>
                <w:color w:val="000000"/>
                <w:szCs w:val="21"/>
                <w:highlight w:val="none"/>
              </w:rPr>
            </w:pPr>
            <w:r>
              <w:rPr>
                <w:color w:val="000000"/>
                <w:szCs w:val="21"/>
                <w:highlight w:val="none"/>
              </w:rPr>
              <w:t>9.2</w:t>
            </w:r>
          </w:p>
        </w:tc>
        <w:tc>
          <w:tcPr>
            <w:tcW w:w="431" w:type="pct"/>
            <w:vAlign w:val="center"/>
          </w:tcPr>
          <w:p w14:paraId="0245240F">
            <w:pPr>
              <w:jc w:val="center"/>
              <w:rPr>
                <w:rFonts w:eastAsiaTheme="minorEastAsia"/>
                <w:color w:val="000000"/>
                <w:szCs w:val="21"/>
                <w:highlight w:val="none"/>
              </w:rPr>
            </w:pPr>
            <w:r>
              <w:rPr>
                <w:color w:val="000000"/>
                <w:szCs w:val="21"/>
                <w:highlight w:val="none"/>
              </w:rPr>
              <w:t>9.3</w:t>
            </w:r>
          </w:p>
        </w:tc>
        <w:tc>
          <w:tcPr>
            <w:tcW w:w="431" w:type="pct"/>
            <w:vAlign w:val="center"/>
          </w:tcPr>
          <w:p w14:paraId="3184FB9D">
            <w:pPr>
              <w:jc w:val="center"/>
              <w:rPr>
                <w:rFonts w:eastAsiaTheme="minorEastAsia"/>
                <w:color w:val="000000"/>
                <w:szCs w:val="21"/>
                <w:highlight w:val="none"/>
              </w:rPr>
            </w:pPr>
            <w:r>
              <w:rPr>
                <w:color w:val="000000"/>
                <w:szCs w:val="21"/>
                <w:highlight w:val="none"/>
              </w:rPr>
              <w:t>10.7</w:t>
            </w:r>
          </w:p>
        </w:tc>
        <w:tc>
          <w:tcPr>
            <w:tcW w:w="926" w:type="pct"/>
            <w:vAlign w:val="bottom"/>
          </w:tcPr>
          <w:p w14:paraId="55B5774D">
            <w:pPr>
              <w:jc w:val="center"/>
              <w:rPr>
                <w:rFonts w:eastAsiaTheme="minorEastAsia"/>
                <w:color w:val="000000"/>
                <w:szCs w:val="21"/>
                <w:highlight w:val="none"/>
              </w:rPr>
            </w:pPr>
            <w:r>
              <w:rPr>
                <w:color w:val="000000"/>
                <w:sz w:val="22"/>
                <w:szCs w:val="22"/>
                <w:highlight w:val="none"/>
              </w:rPr>
              <w:t xml:space="preserve">9.73 </w:t>
            </w:r>
          </w:p>
        </w:tc>
        <w:tc>
          <w:tcPr>
            <w:tcW w:w="772" w:type="pct"/>
            <w:vMerge w:val="restart"/>
            <w:vAlign w:val="center"/>
          </w:tcPr>
          <w:p w14:paraId="2DAE9778">
            <w:pPr>
              <w:jc w:val="center"/>
              <w:rPr>
                <w:rFonts w:eastAsiaTheme="minorEastAsia"/>
                <w:szCs w:val="21"/>
                <w:highlight w:val="none"/>
              </w:rPr>
            </w:pPr>
            <w:r>
              <w:rPr>
                <w:rFonts w:eastAsiaTheme="minorEastAsia"/>
                <w:szCs w:val="21"/>
                <w:highlight w:val="none"/>
              </w:rPr>
              <w:t>9.95</w:t>
            </w:r>
          </w:p>
        </w:tc>
        <w:tc>
          <w:tcPr>
            <w:tcW w:w="771" w:type="pct"/>
            <w:vMerge w:val="restart"/>
            <w:vAlign w:val="center"/>
          </w:tcPr>
          <w:p w14:paraId="1DF5AFE9">
            <w:pPr>
              <w:jc w:val="center"/>
              <w:rPr>
                <w:rFonts w:eastAsiaTheme="minorEastAsia"/>
                <w:szCs w:val="21"/>
                <w:highlight w:val="none"/>
              </w:rPr>
            </w:pPr>
            <w:r>
              <w:rPr>
                <w:rFonts w:eastAsiaTheme="minorEastAsia"/>
                <w:szCs w:val="21"/>
                <w:highlight w:val="none"/>
              </w:rPr>
              <w:t>0.31</w:t>
            </w:r>
          </w:p>
        </w:tc>
      </w:tr>
      <w:tr w14:paraId="6C03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continue"/>
            <w:vAlign w:val="center"/>
          </w:tcPr>
          <w:p w14:paraId="08E221CC">
            <w:pPr>
              <w:jc w:val="center"/>
              <w:rPr>
                <w:rFonts w:eastAsiaTheme="minorEastAsia"/>
                <w:szCs w:val="21"/>
                <w:highlight w:val="none"/>
              </w:rPr>
            </w:pPr>
          </w:p>
        </w:tc>
        <w:tc>
          <w:tcPr>
            <w:tcW w:w="1150" w:type="dxa"/>
            <w:vAlign w:val="center"/>
          </w:tcPr>
          <w:p w14:paraId="66373459">
            <w:pPr>
              <w:jc w:val="center"/>
              <w:rPr>
                <w:rFonts w:eastAsiaTheme="minorEastAsia"/>
                <w:szCs w:val="21"/>
                <w:highlight w:val="none"/>
              </w:rPr>
            </w:pPr>
            <w:r>
              <w:rPr>
                <w:rFonts w:hint="eastAsia" w:eastAsiaTheme="minorEastAsia"/>
                <w:szCs w:val="21"/>
                <w:highlight w:val="none"/>
                <w:lang w:val="en-US" w:eastAsia="zh-CN"/>
              </w:rPr>
              <w:t>2</w:t>
            </w:r>
          </w:p>
        </w:tc>
        <w:tc>
          <w:tcPr>
            <w:tcW w:w="431" w:type="pct"/>
            <w:vAlign w:val="center"/>
          </w:tcPr>
          <w:p w14:paraId="6EE01EBC">
            <w:pPr>
              <w:jc w:val="center"/>
              <w:rPr>
                <w:rFonts w:eastAsiaTheme="minorEastAsia"/>
                <w:color w:val="000000"/>
                <w:szCs w:val="21"/>
                <w:highlight w:val="none"/>
              </w:rPr>
            </w:pPr>
            <w:r>
              <w:rPr>
                <w:color w:val="000000"/>
                <w:szCs w:val="21"/>
                <w:highlight w:val="none"/>
              </w:rPr>
              <w:t>9.8</w:t>
            </w:r>
          </w:p>
        </w:tc>
        <w:tc>
          <w:tcPr>
            <w:tcW w:w="431" w:type="pct"/>
            <w:vAlign w:val="center"/>
          </w:tcPr>
          <w:p w14:paraId="2707FB6C">
            <w:pPr>
              <w:jc w:val="center"/>
              <w:rPr>
                <w:rFonts w:eastAsiaTheme="minorEastAsia"/>
                <w:color w:val="000000"/>
                <w:szCs w:val="21"/>
                <w:highlight w:val="none"/>
              </w:rPr>
            </w:pPr>
            <w:r>
              <w:rPr>
                <w:color w:val="000000"/>
                <w:szCs w:val="21"/>
                <w:highlight w:val="none"/>
              </w:rPr>
              <w:t>10.5</w:t>
            </w:r>
          </w:p>
        </w:tc>
        <w:tc>
          <w:tcPr>
            <w:tcW w:w="431" w:type="pct"/>
            <w:vAlign w:val="center"/>
          </w:tcPr>
          <w:p w14:paraId="78453213">
            <w:pPr>
              <w:jc w:val="center"/>
              <w:rPr>
                <w:rFonts w:eastAsiaTheme="minorEastAsia"/>
                <w:color w:val="000000"/>
                <w:szCs w:val="21"/>
                <w:highlight w:val="none"/>
              </w:rPr>
            </w:pPr>
            <w:r>
              <w:rPr>
                <w:color w:val="000000"/>
                <w:szCs w:val="21"/>
                <w:highlight w:val="none"/>
              </w:rPr>
              <w:t>10.2</w:t>
            </w:r>
          </w:p>
        </w:tc>
        <w:tc>
          <w:tcPr>
            <w:tcW w:w="926" w:type="pct"/>
            <w:vAlign w:val="bottom"/>
          </w:tcPr>
          <w:p w14:paraId="119F0CEC">
            <w:pPr>
              <w:jc w:val="center"/>
              <w:rPr>
                <w:rFonts w:eastAsiaTheme="minorEastAsia"/>
                <w:color w:val="000000"/>
                <w:szCs w:val="21"/>
                <w:highlight w:val="none"/>
              </w:rPr>
            </w:pPr>
            <w:r>
              <w:rPr>
                <w:color w:val="000000"/>
                <w:sz w:val="22"/>
                <w:szCs w:val="22"/>
                <w:highlight w:val="none"/>
              </w:rPr>
              <w:t xml:space="preserve">10.17 </w:t>
            </w:r>
          </w:p>
        </w:tc>
        <w:tc>
          <w:tcPr>
            <w:tcW w:w="772" w:type="pct"/>
            <w:vMerge w:val="continue"/>
            <w:vAlign w:val="center"/>
          </w:tcPr>
          <w:p w14:paraId="1DBF838B">
            <w:pPr>
              <w:jc w:val="center"/>
              <w:rPr>
                <w:rFonts w:eastAsiaTheme="minorEastAsia"/>
                <w:szCs w:val="21"/>
                <w:highlight w:val="none"/>
              </w:rPr>
            </w:pPr>
          </w:p>
        </w:tc>
        <w:tc>
          <w:tcPr>
            <w:tcW w:w="771" w:type="pct"/>
            <w:vMerge w:val="continue"/>
            <w:vAlign w:val="center"/>
          </w:tcPr>
          <w:p w14:paraId="57261BC0">
            <w:pPr>
              <w:jc w:val="center"/>
              <w:rPr>
                <w:rFonts w:eastAsiaTheme="minorEastAsia"/>
                <w:szCs w:val="21"/>
                <w:highlight w:val="none"/>
              </w:rPr>
            </w:pPr>
          </w:p>
        </w:tc>
      </w:tr>
      <w:tr w14:paraId="062A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restart"/>
            <w:vAlign w:val="center"/>
          </w:tcPr>
          <w:p w14:paraId="5A93EA14">
            <w:pPr>
              <w:jc w:val="center"/>
              <w:rPr>
                <w:rFonts w:eastAsiaTheme="minorEastAsia"/>
                <w:szCs w:val="21"/>
                <w:highlight w:val="none"/>
              </w:rPr>
            </w:pPr>
            <w:r>
              <w:rPr>
                <w:rFonts w:hint="eastAsia" w:eastAsiaTheme="minorEastAsia"/>
                <w:szCs w:val="21"/>
                <w:highlight w:val="none"/>
              </w:rPr>
              <w:t>3</w:t>
            </w:r>
          </w:p>
        </w:tc>
        <w:tc>
          <w:tcPr>
            <w:tcW w:w="1150" w:type="dxa"/>
            <w:vAlign w:val="center"/>
          </w:tcPr>
          <w:p w14:paraId="7787E5BE">
            <w:pPr>
              <w:jc w:val="center"/>
              <w:rPr>
                <w:rFonts w:eastAsiaTheme="minorEastAsia"/>
                <w:szCs w:val="21"/>
                <w:highlight w:val="none"/>
              </w:rPr>
            </w:pPr>
            <w:r>
              <w:rPr>
                <w:rFonts w:hint="eastAsia" w:eastAsiaTheme="minorEastAsia"/>
                <w:szCs w:val="21"/>
                <w:highlight w:val="none"/>
                <w:lang w:val="en-US" w:eastAsia="zh-CN"/>
              </w:rPr>
              <w:t>1</w:t>
            </w:r>
          </w:p>
        </w:tc>
        <w:tc>
          <w:tcPr>
            <w:tcW w:w="431" w:type="pct"/>
            <w:vAlign w:val="center"/>
          </w:tcPr>
          <w:p w14:paraId="33859A1E">
            <w:pPr>
              <w:jc w:val="center"/>
              <w:rPr>
                <w:rFonts w:eastAsiaTheme="minorEastAsia"/>
                <w:color w:val="000000"/>
                <w:szCs w:val="21"/>
                <w:highlight w:val="none"/>
              </w:rPr>
            </w:pPr>
            <w:r>
              <w:rPr>
                <w:color w:val="000000"/>
                <w:szCs w:val="21"/>
                <w:highlight w:val="none"/>
              </w:rPr>
              <w:t>16.2</w:t>
            </w:r>
          </w:p>
        </w:tc>
        <w:tc>
          <w:tcPr>
            <w:tcW w:w="431" w:type="pct"/>
            <w:vAlign w:val="center"/>
          </w:tcPr>
          <w:p w14:paraId="2776408D">
            <w:pPr>
              <w:jc w:val="center"/>
              <w:rPr>
                <w:rFonts w:eastAsiaTheme="minorEastAsia"/>
                <w:color w:val="000000"/>
                <w:szCs w:val="21"/>
                <w:highlight w:val="none"/>
              </w:rPr>
            </w:pPr>
            <w:r>
              <w:rPr>
                <w:color w:val="000000"/>
                <w:szCs w:val="21"/>
                <w:highlight w:val="none"/>
              </w:rPr>
              <w:t>18.2</w:t>
            </w:r>
          </w:p>
        </w:tc>
        <w:tc>
          <w:tcPr>
            <w:tcW w:w="431" w:type="pct"/>
            <w:vAlign w:val="center"/>
          </w:tcPr>
          <w:p w14:paraId="7E9717EB">
            <w:pPr>
              <w:jc w:val="center"/>
              <w:rPr>
                <w:rFonts w:eastAsiaTheme="minorEastAsia"/>
                <w:color w:val="000000"/>
                <w:szCs w:val="21"/>
                <w:highlight w:val="none"/>
              </w:rPr>
            </w:pPr>
            <w:r>
              <w:rPr>
                <w:color w:val="000000"/>
                <w:szCs w:val="21"/>
                <w:highlight w:val="none"/>
              </w:rPr>
              <w:t>18.0</w:t>
            </w:r>
          </w:p>
        </w:tc>
        <w:tc>
          <w:tcPr>
            <w:tcW w:w="926" w:type="pct"/>
            <w:vAlign w:val="bottom"/>
          </w:tcPr>
          <w:p w14:paraId="057D8324">
            <w:pPr>
              <w:jc w:val="center"/>
              <w:rPr>
                <w:rFonts w:eastAsiaTheme="minorEastAsia"/>
                <w:color w:val="000000"/>
                <w:szCs w:val="21"/>
                <w:highlight w:val="none"/>
              </w:rPr>
            </w:pPr>
            <w:r>
              <w:rPr>
                <w:color w:val="000000"/>
                <w:sz w:val="22"/>
                <w:szCs w:val="22"/>
                <w:highlight w:val="none"/>
              </w:rPr>
              <w:t xml:space="preserve">17.47 </w:t>
            </w:r>
          </w:p>
        </w:tc>
        <w:tc>
          <w:tcPr>
            <w:tcW w:w="772" w:type="pct"/>
            <w:vMerge w:val="restart"/>
            <w:vAlign w:val="center"/>
          </w:tcPr>
          <w:p w14:paraId="3B1CBDCA">
            <w:pPr>
              <w:jc w:val="center"/>
              <w:rPr>
                <w:rFonts w:eastAsiaTheme="minorEastAsia"/>
                <w:szCs w:val="21"/>
                <w:highlight w:val="none"/>
              </w:rPr>
            </w:pPr>
            <w:r>
              <w:rPr>
                <w:rFonts w:eastAsiaTheme="minorEastAsia"/>
                <w:szCs w:val="21"/>
                <w:highlight w:val="none"/>
              </w:rPr>
              <w:t>17.38</w:t>
            </w:r>
          </w:p>
        </w:tc>
        <w:tc>
          <w:tcPr>
            <w:tcW w:w="771" w:type="pct"/>
            <w:vMerge w:val="restart"/>
            <w:vAlign w:val="center"/>
          </w:tcPr>
          <w:p w14:paraId="58A9D3AF">
            <w:pPr>
              <w:jc w:val="center"/>
              <w:rPr>
                <w:rFonts w:eastAsiaTheme="minorEastAsia"/>
                <w:szCs w:val="21"/>
                <w:highlight w:val="none"/>
              </w:rPr>
            </w:pPr>
            <w:r>
              <w:rPr>
                <w:rFonts w:eastAsiaTheme="minorEastAsia"/>
                <w:szCs w:val="21"/>
                <w:highlight w:val="none"/>
              </w:rPr>
              <w:t>0.12</w:t>
            </w:r>
          </w:p>
        </w:tc>
      </w:tr>
      <w:tr w14:paraId="71DC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continue"/>
            <w:vAlign w:val="center"/>
          </w:tcPr>
          <w:p w14:paraId="33911FE6">
            <w:pPr>
              <w:jc w:val="center"/>
              <w:rPr>
                <w:rFonts w:eastAsiaTheme="minorEastAsia"/>
                <w:szCs w:val="21"/>
                <w:highlight w:val="none"/>
              </w:rPr>
            </w:pPr>
          </w:p>
        </w:tc>
        <w:tc>
          <w:tcPr>
            <w:tcW w:w="1150" w:type="dxa"/>
            <w:vAlign w:val="center"/>
          </w:tcPr>
          <w:p w14:paraId="61819BBC">
            <w:pPr>
              <w:jc w:val="center"/>
              <w:rPr>
                <w:rFonts w:eastAsiaTheme="minorEastAsia"/>
                <w:szCs w:val="21"/>
                <w:highlight w:val="none"/>
              </w:rPr>
            </w:pPr>
            <w:r>
              <w:rPr>
                <w:rFonts w:hint="eastAsia" w:eastAsiaTheme="minorEastAsia"/>
                <w:szCs w:val="21"/>
                <w:highlight w:val="none"/>
                <w:lang w:val="en-US" w:eastAsia="zh-CN"/>
              </w:rPr>
              <w:t>2</w:t>
            </w:r>
          </w:p>
        </w:tc>
        <w:tc>
          <w:tcPr>
            <w:tcW w:w="431" w:type="pct"/>
            <w:vAlign w:val="center"/>
          </w:tcPr>
          <w:p w14:paraId="44406BB0">
            <w:pPr>
              <w:jc w:val="center"/>
              <w:rPr>
                <w:rFonts w:eastAsiaTheme="minorEastAsia"/>
                <w:color w:val="000000"/>
                <w:szCs w:val="21"/>
                <w:highlight w:val="none"/>
              </w:rPr>
            </w:pPr>
            <w:r>
              <w:rPr>
                <w:color w:val="000000"/>
                <w:szCs w:val="21"/>
                <w:highlight w:val="none"/>
              </w:rPr>
              <w:t>17.7</w:t>
            </w:r>
          </w:p>
        </w:tc>
        <w:tc>
          <w:tcPr>
            <w:tcW w:w="431" w:type="pct"/>
            <w:vAlign w:val="center"/>
          </w:tcPr>
          <w:p w14:paraId="76702A75">
            <w:pPr>
              <w:jc w:val="center"/>
              <w:rPr>
                <w:rFonts w:eastAsiaTheme="minorEastAsia"/>
                <w:color w:val="000000"/>
                <w:szCs w:val="21"/>
                <w:highlight w:val="none"/>
              </w:rPr>
            </w:pPr>
            <w:r>
              <w:rPr>
                <w:color w:val="000000"/>
                <w:szCs w:val="21"/>
                <w:highlight w:val="none"/>
              </w:rPr>
              <w:t>16.0</w:t>
            </w:r>
          </w:p>
        </w:tc>
        <w:tc>
          <w:tcPr>
            <w:tcW w:w="431" w:type="pct"/>
            <w:vAlign w:val="center"/>
          </w:tcPr>
          <w:p w14:paraId="4819BD72">
            <w:pPr>
              <w:jc w:val="center"/>
              <w:rPr>
                <w:rFonts w:eastAsiaTheme="minorEastAsia"/>
                <w:color w:val="000000"/>
                <w:szCs w:val="21"/>
                <w:highlight w:val="none"/>
              </w:rPr>
            </w:pPr>
            <w:r>
              <w:rPr>
                <w:color w:val="000000"/>
                <w:szCs w:val="21"/>
                <w:highlight w:val="none"/>
              </w:rPr>
              <w:t>18.2</w:t>
            </w:r>
          </w:p>
        </w:tc>
        <w:tc>
          <w:tcPr>
            <w:tcW w:w="926" w:type="pct"/>
            <w:vAlign w:val="bottom"/>
          </w:tcPr>
          <w:p w14:paraId="1E858A52">
            <w:pPr>
              <w:jc w:val="center"/>
              <w:rPr>
                <w:rFonts w:eastAsiaTheme="minorEastAsia"/>
                <w:color w:val="000000"/>
                <w:szCs w:val="21"/>
                <w:highlight w:val="none"/>
              </w:rPr>
            </w:pPr>
            <w:r>
              <w:rPr>
                <w:color w:val="000000"/>
                <w:sz w:val="22"/>
                <w:szCs w:val="22"/>
                <w:highlight w:val="none"/>
              </w:rPr>
              <w:t xml:space="preserve">17.30 </w:t>
            </w:r>
          </w:p>
        </w:tc>
        <w:tc>
          <w:tcPr>
            <w:tcW w:w="772" w:type="pct"/>
            <w:vMerge w:val="continue"/>
            <w:vAlign w:val="center"/>
          </w:tcPr>
          <w:p w14:paraId="04181F58">
            <w:pPr>
              <w:jc w:val="center"/>
              <w:rPr>
                <w:rFonts w:eastAsiaTheme="minorEastAsia"/>
                <w:szCs w:val="21"/>
                <w:highlight w:val="none"/>
              </w:rPr>
            </w:pPr>
          </w:p>
        </w:tc>
        <w:tc>
          <w:tcPr>
            <w:tcW w:w="771" w:type="pct"/>
            <w:vMerge w:val="continue"/>
            <w:vAlign w:val="center"/>
          </w:tcPr>
          <w:p w14:paraId="2C77253F">
            <w:pPr>
              <w:jc w:val="center"/>
              <w:rPr>
                <w:rFonts w:eastAsiaTheme="minorEastAsia"/>
                <w:szCs w:val="21"/>
                <w:highlight w:val="none"/>
              </w:rPr>
            </w:pPr>
          </w:p>
        </w:tc>
      </w:tr>
      <w:tr w14:paraId="1AFB5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restart"/>
            <w:vAlign w:val="center"/>
          </w:tcPr>
          <w:p w14:paraId="3B6B4822">
            <w:pPr>
              <w:jc w:val="center"/>
              <w:rPr>
                <w:rFonts w:eastAsiaTheme="minorEastAsia"/>
                <w:szCs w:val="21"/>
                <w:highlight w:val="none"/>
              </w:rPr>
            </w:pPr>
            <w:r>
              <w:rPr>
                <w:rFonts w:hint="eastAsia" w:eastAsiaTheme="minorEastAsia"/>
                <w:szCs w:val="21"/>
                <w:highlight w:val="none"/>
              </w:rPr>
              <w:t>4</w:t>
            </w:r>
          </w:p>
        </w:tc>
        <w:tc>
          <w:tcPr>
            <w:tcW w:w="1150" w:type="dxa"/>
            <w:vAlign w:val="center"/>
          </w:tcPr>
          <w:p w14:paraId="1DBB08A9">
            <w:pPr>
              <w:jc w:val="center"/>
              <w:rPr>
                <w:rFonts w:eastAsiaTheme="minorEastAsia"/>
                <w:szCs w:val="21"/>
                <w:highlight w:val="none"/>
              </w:rPr>
            </w:pPr>
            <w:r>
              <w:rPr>
                <w:rFonts w:hint="eastAsia" w:eastAsiaTheme="minorEastAsia"/>
                <w:szCs w:val="21"/>
                <w:highlight w:val="none"/>
                <w:lang w:val="en-US" w:eastAsia="zh-CN"/>
              </w:rPr>
              <w:t>1</w:t>
            </w:r>
          </w:p>
        </w:tc>
        <w:tc>
          <w:tcPr>
            <w:tcW w:w="431" w:type="pct"/>
            <w:vAlign w:val="center"/>
          </w:tcPr>
          <w:p w14:paraId="2B47F9BD">
            <w:pPr>
              <w:jc w:val="center"/>
              <w:rPr>
                <w:rFonts w:eastAsiaTheme="minorEastAsia"/>
                <w:color w:val="000000"/>
                <w:szCs w:val="21"/>
                <w:highlight w:val="none"/>
              </w:rPr>
            </w:pPr>
            <w:r>
              <w:rPr>
                <w:color w:val="000000"/>
                <w:szCs w:val="21"/>
                <w:highlight w:val="none"/>
              </w:rPr>
              <w:t>10.2</w:t>
            </w:r>
          </w:p>
        </w:tc>
        <w:tc>
          <w:tcPr>
            <w:tcW w:w="431" w:type="pct"/>
            <w:vAlign w:val="center"/>
          </w:tcPr>
          <w:p w14:paraId="03447FEF">
            <w:pPr>
              <w:jc w:val="center"/>
              <w:rPr>
                <w:rFonts w:eastAsiaTheme="minorEastAsia"/>
                <w:color w:val="000000"/>
                <w:szCs w:val="21"/>
                <w:highlight w:val="none"/>
              </w:rPr>
            </w:pPr>
            <w:r>
              <w:rPr>
                <w:color w:val="000000"/>
                <w:szCs w:val="21"/>
                <w:highlight w:val="none"/>
              </w:rPr>
              <w:t>9.8</w:t>
            </w:r>
          </w:p>
        </w:tc>
        <w:tc>
          <w:tcPr>
            <w:tcW w:w="431" w:type="pct"/>
            <w:vAlign w:val="center"/>
          </w:tcPr>
          <w:p w14:paraId="75ECB71B">
            <w:pPr>
              <w:jc w:val="center"/>
              <w:rPr>
                <w:rFonts w:eastAsiaTheme="minorEastAsia"/>
                <w:color w:val="000000"/>
                <w:szCs w:val="21"/>
                <w:highlight w:val="none"/>
              </w:rPr>
            </w:pPr>
            <w:r>
              <w:rPr>
                <w:color w:val="000000"/>
                <w:szCs w:val="21"/>
                <w:highlight w:val="none"/>
              </w:rPr>
              <w:t>10.3</w:t>
            </w:r>
          </w:p>
        </w:tc>
        <w:tc>
          <w:tcPr>
            <w:tcW w:w="926" w:type="pct"/>
            <w:vAlign w:val="bottom"/>
          </w:tcPr>
          <w:p w14:paraId="15398B5D">
            <w:pPr>
              <w:jc w:val="center"/>
              <w:rPr>
                <w:rFonts w:eastAsiaTheme="minorEastAsia"/>
                <w:color w:val="000000"/>
                <w:szCs w:val="21"/>
                <w:highlight w:val="none"/>
              </w:rPr>
            </w:pPr>
            <w:r>
              <w:rPr>
                <w:color w:val="000000"/>
                <w:sz w:val="22"/>
                <w:szCs w:val="22"/>
                <w:highlight w:val="none"/>
              </w:rPr>
              <w:t xml:space="preserve">10.10 </w:t>
            </w:r>
          </w:p>
        </w:tc>
        <w:tc>
          <w:tcPr>
            <w:tcW w:w="772" w:type="pct"/>
            <w:vMerge w:val="restart"/>
            <w:vAlign w:val="center"/>
          </w:tcPr>
          <w:p w14:paraId="5BA41F43">
            <w:pPr>
              <w:jc w:val="center"/>
              <w:rPr>
                <w:rFonts w:eastAsiaTheme="minorEastAsia"/>
                <w:szCs w:val="21"/>
                <w:highlight w:val="none"/>
              </w:rPr>
            </w:pPr>
            <w:r>
              <w:rPr>
                <w:rFonts w:eastAsiaTheme="minorEastAsia"/>
                <w:szCs w:val="21"/>
                <w:highlight w:val="none"/>
              </w:rPr>
              <w:t>10.40</w:t>
            </w:r>
          </w:p>
        </w:tc>
        <w:tc>
          <w:tcPr>
            <w:tcW w:w="771" w:type="pct"/>
            <w:vMerge w:val="restart"/>
            <w:vAlign w:val="center"/>
          </w:tcPr>
          <w:p w14:paraId="42503B2F">
            <w:pPr>
              <w:jc w:val="center"/>
              <w:rPr>
                <w:rFonts w:eastAsiaTheme="minorEastAsia"/>
                <w:szCs w:val="21"/>
                <w:highlight w:val="none"/>
              </w:rPr>
            </w:pPr>
            <w:r>
              <w:rPr>
                <w:rFonts w:eastAsiaTheme="minorEastAsia"/>
                <w:szCs w:val="21"/>
                <w:highlight w:val="none"/>
              </w:rPr>
              <w:t>0.42</w:t>
            </w:r>
          </w:p>
        </w:tc>
      </w:tr>
      <w:tr w14:paraId="2C91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continue"/>
            <w:vAlign w:val="center"/>
          </w:tcPr>
          <w:p w14:paraId="3872B6CD">
            <w:pPr>
              <w:jc w:val="center"/>
              <w:rPr>
                <w:rFonts w:eastAsiaTheme="minorEastAsia"/>
                <w:szCs w:val="21"/>
                <w:highlight w:val="none"/>
              </w:rPr>
            </w:pPr>
          </w:p>
        </w:tc>
        <w:tc>
          <w:tcPr>
            <w:tcW w:w="1150" w:type="dxa"/>
            <w:vAlign w:val="center"/>
          </w:tcPr>
          <w:p w14:paraId="23DB95A4">
            <w:pPr>
              <w:jc w:val="center"/>
              <w:rPr>
                <w:rFonts w:eastAsiaTheme="minorEastAsia"/>
                <w:szCs w:val="21"/>
                <w:highlight w:val="none"/>
              </w:rPr>
            </w:pPr>
            <w:r>
              <w:rPr>
                <w:rFonts w:hint="eastAsia" w:eastAsiaTheme="minorEastAsia"/>
                <w:szCs w:val="21"/>
                <w:highlight w:val="none"/>
                <w:lang w:val="en-US" w:eastAsia="zh-CN"/>
              </w:rPr>
              <w:t>2</w:t>
            </w:r>
          </w:p>
        </w:tc>
        <w:tc>
          <w:tcPr>
            <w:tcW w:w="431" w:type="pct"/>
            <w:vAlign w:val="center"/>
          </w:tcPr>
          <w:p w14:paraId="3A086CC6">
            <w:pPr>
              <w:jc w:val="center"/>
              <w:rPr>
                <w:rFonts w:eastAsiaTheme="minorEastAsia"/>
                <w:color w:val="000000"/>
                <w:szCs w:val="21"/>
                <w:highlight w:val="none"/>
              </w:rPr>
            </w:pPr>
            <w:r>
              <w:rPr>
                <w:color w:val="000000"/>
                <w:szCs w:val="21"/>
                <w:highlight w:val="none"/>
              </w:rPr>
              <w:t>10.6</w:t>
            </w:r>
          </w:p>
        </w:tc>
        <w:tc>
          <w:tcPr>
            <w:tcW w:w="431" w:type="pct"/>
            <w:vAlign w:val="center"/>
          </w:tcPr>
          <w:p w14:paraId="7041CA9C">
            <w:pPr>
              <w:jc w:val="center"/>
              <w:rPr>
                <w:rFonts w:eastAsiaTheme="minorEastAsia"/>
                <w:color w:val="000000"/>
                <w:szCs w:val="21"/>
                <w:highlight w:val="none"/>
              </w:rPr>
            </w:pPr>
            <w:r>
              <w:rPr>
                <w:color w:val="000000"/>
                <w:szCs w:val="21"/>
                <w:highlight w:val="none"/>
              </w:rPr>
              <w:t>10.7</w:t>
            </w:r>
          </w:p>
        </w:tc>
        <w:tc>
          <w:tcPr>
            <w:tcW w:w="431" w:type="pct"/>
            <w:vAlign w:val="center"/>
          </w:tcPr>
          <w:p w14:paraId="2706A4FB">
            <w:pPr>
              <w:jc w:val="center"/>
              <w:rPr>
                <w:rFonts w:eastAsiaTheme="minorEastAsia"/>
                <w:color w:val="000000"/>
                <w:szCs w:val="21"/>
                <w:highlight w:val="none"/>
              </w:rPr>
            </w:pPr>
            <w:r>
              <w:rPr>
                <w:color w:val="000000"/>
                <w:szCs w:val="21"/>
                <w:highlight w:val="none"/>
              </w:rPr>
              <w:t>10.8</w:t>
            </w:r>
          </w:p>
        </w:tc>
        <w:tc>
          <w:tcPr>
            <w:tcW w:w="926" w:type="pct"/>
            <w:vAlign w:val="bottom"/>
          </w:tcPr>
          <w:p w14:paraId="44F3F0A6">
            <w:pPr>
              <w:jc w:val="center"/>
              <w:rPr>
                <w:rFonts w:eastAsiaTheme="minorEastAsia"/>
                <w:color w:val="000000"/>
                <w:szCs w:val="21"/>
                <w:highlight w:val="none"/>
              </w:rPr>
            </w:pPr>
            <w:r>
              <w:rPr>
                <w:color w:val="000000"/>
                <w:sz w:val="22"/>
                <w:szCs w:val="22"/>
                <w:highlight w:val="none"/>
              </w:rPr>
              <w:t xml:space="preserve">10.70 </w:t>
            </w:r>
          </w:p>
        </w:tc>
        <w:tc>
          <w:tcPr>
            <w:tcW w:w="772" w:type="pct"/>
            <w:vMerge w:val="continue"/>
            <w:vAlign w:val="center"/>
          </w:tcPr>
          <w:p w14:paraId="5D63E45F">
            <w:pPr>
              <w:jc w:val="center"/>
              <w:rPr>
                <w:rFonts w:eastAsiaTheme="minorEastAsia"/>
                <w:szCs w:val="21"/>
                <w:highlight w:val="none"/>
              </w:rPr>
            </w:pPr>
          </w:p>
        </w:tc>
        <w:tc>
          <w:tcPr>
            <w:tcW w:w="771" w:type="pct"/>
            <w:vMerge w:val="continue"/>
            <w:vAlign w:val="center"/>
          </w:tcPr>
          <w:p w14:paraId="5C3D0912">
            <w:pPr>
              <w:jc w:val="center"/>
              <w:rPr>
                <w:rFonts w:eastAsiaTheme="minorEastAsia"/>
                <w:szCs w:val="21"/>
                <w:highlight w:val="none"/>
              </w:rPr>
            </w:pPr>
          </w:p>
        </w:tc>
      </w:tr>
      <w:tr w14:paraId="47BF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restart"/>
            <w:vAlign w:val="center"/>
          </w:tcPr>
          <w:p w14:paraId="729896B5">
            <w:pPr>
              <w:jc w:val="center"/>
              <w:rPr>
                <w:rFonts w:eastAsiaTheme="minorEastAsia"/>
                <w:szCs w:val="21"/>
                <w:highlight w:val="none"/>
              </w:rPr>
            </w:pPr>
            <w:r>
              <w:rPr>
                <w:rFonts w:hint="eastAsia" w:eastAsiaTheme="minorEastAsia"/>
                <w:szCs w:val="21"/>
                <w:highlight w:val="none"/>
              </w:rPr>
              <w:t>5</w:t>
            </w:r>
          </w:p>
        </w:tc>
        <w:tc>
          <w:tcPr>
            <w:tcW w:w="1150" w:type="dxa"/>
            <w:vAlign w:val="center"/>
          </w:tcPr>
          <w:p w14:paraId="62DA927E">
            <w:pPr>
              <w:jc w:val="center"/>
              <w:rPr>
                <w:rFonts w:eastAsiaTheme="minorEastAsia"/>
                <w:szCs w:val="21"/>
                <w:highlight w:val="none"/>
              </w:rPr>
            </w:pPr>
            <w:r>
              <w:rPr>
                <w:rFonts w:hint="eastAsia" w:eastAsiaTheme="minorEastAsia"/>
                <w:szCs w:val="21"/>
                <w:highlight w:val="none"/>
                <w:lang w:val="en-US" w:eastAsia="zh-CN"/>
              </w:rPr>
              <w:t>1</w:t>
            </w:r>
          </w:p>
        </w:tc>
        <w:tc>
          <w:tcPr>
            <w:tcW w:w="431" w:type="pct"/>
            <w:vAlign w:val="center"/>
          </w:tcPr>
          <w:p w14:paraId="7632C576">
            <w:pPr>
              <w:jc w:val="center"/>
              <w:rPr>
                <w:highlight w:val="none"/>
              </w:rPr>
            </w:pPr>
            <w:r>
              <w:rPr>
                <w:color w:val="000000"/>
                <w:highlight w:val="none"/>
              </w:rPr>
              <w:t xml:space="preserve">9.5 </w:t>
            </w:r>
          </w:p>
        </w:tc>
        <w:tc>
          <w:tcPr>
            <w:tcW w:w="431" w:type="pct"/>
            <w:vAlign w:val="center"/>
          </w:tcPr>
          <w:p w14:paraId="14CE29F8">
            <w:pPr>
              <w:jc w:val="center"/>
              <w:rPr>
                <w:highlight w:val="none"/>
              </w:rPr>
            </w:pPr>
            <w:r>
              <w:rPr>
                <w:color w:val="000000"/>
                <w:highlight w:val="none"/>
              </w:rPr>
              <w:t xml:space="preserve">9.1 </w:t>
            </w:r>
          </w:p>
        </w:tc>
        <w:tc>
          <w:tcPr>
            <w:tcW w:w="431" w:type="pct"/>
            <w:vAlign w:val="center"/>
          </w:tcPr>
          <w:p w14:paraId="442CCA5D">
            <w:pPr>
              <w:jc w:val="center"/>
              <w:rPr>
                <w:highlight w:val="none"/>
              </w:rPr>
            </w:pPr>
            <w:r>
              <w:rPr>
                <w:color w:val="000000"/>
                <w:highlight w:val="none"/>
              </w:rPr>
              <w:t xml:space="preserve">9.6 </w:t>
            </w:r>
          </w:p>
        </w:tc>
        <w:tc>
          <w:tcPr>
            <w:tcW w:w="926" w:type="pct"/>
            <w:vAlign w:val="bottom"/>
          </w:tcPr>
          <w:p w14:paraId="055C1F44">
            <w:pPr>
              <w:jc w:val="center"/>
              <w:rPr>
                <w:rFonts w:eastAsiaTheme="minorEastAsia"/>
                <w:color w:val="000000"/>
                <w:szCs w:val="21"/>
                <w:highlight w:val="none"/>
              </w:rPr>
            </w:pPr>
            <w:r>
              <w:rPr>
                <w:color w:val="000000"/>
                <w:sz w:val="22"/>
                <w:szCs w:val="22"/>
                <w:highlight w:val="none"/>
              </w:rPr>
              <w:t xml:space="preserve">9.40 </w:t>
            </w:r>
          </w:p>
        </w:tc>
        <w:tc>
          <w:tcPr>
            <w:tcW w:w="772" w:type="pct"/>
            <w:vMerge w:val="restart"/>
            <w:vAlign w:val="center"/>
          </w:tcPr>
          <w:p w14:paraId="3A282023">
            <w:pPr>
              <w:jc w:val="center"/>
              <w:rPr>
                <w:rFonts w:eastAsiaTheme="minorEastAsia"/>
                <w:szCs w:val="21"/>
                <w:highlight w:val="none"/>
              </w:rPr>
            </w:pPr>
            <w:r>
              <w:rPr>
                <w:rFonts w:eastAsiaTheme="minorEastAsia"/>
                <w:szCs w:val="21"/>
                <w:highlight w:val="none"/>
              </w:rPr>
              <w:t>9.54</w:t>
            </w:r>
          </w:p>
        </w:tc>
        <w:tc>
          <w:tcPr>
            <w:tcW w:w="771" w:type="pct"/>
            <w:vMerge w:val="restart"/>
            <w:vAlign w:val="center"/>
          </w:tcPr>
          <w:p w14:paraId="3065AD8A">
            <w:pPr>
              <w:jc w:val="center"/>
              <w:rPr>
                <w:rFonts w:eastAsiaTheme="minorEastAsia"/>
                <w:szCs w:val="21"/>
                <w:highlight w:val="none"/>
              </w:rPr>
            </w:pPr>
            <w:r>
              <w:rPr>
                <w:rFonts w:eastAsiaTheme="minorEastAsia"/>
                <w:szCs w:val="21"/>
                <w:highlight w:val="none"/>
              </w:rPr>
              <w:t>0.20</w:t>
            </w:r>
          </w:p>
        </w:tc>
      </w:tr>
      <w:tr w14:paraId="5EFF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continue"/>
            <w:vAlign w:val="center"/>
          </w:tcPr>
          <w:p w14:paraId="14767C71">
            <w:pPr>
              <w:jc w:val="center"/>
              <w:rPr>
                <w:rFonts w:eastAsiaTheme="minorEastAsia"/>
                <w:szCs w:val="21"/>
                <w:highlight w:val="none"/>
              </w:rPr>
            </w:pPr>
          </w:p>
        </w:tc>
        <w:tc>
          <w:tcPr>
            <w:tcW w:w="1150" w:type="dxa"/>
            <w:vAlign w:val="center"/>
          </w:tcPr>
          <w:p w14:paraId="2090B892">
            <w:pPr>
              <w:jc w:val="center"/>
              <w:rPr>
                <w:rFonts w:eastAsiaTheme="minorEastAsia"/>
                <w:szCs w:val="21"/>
                <w:highlight w:val="none"/>
              </w:rPr>
            </w:pPr>
            <w:r>
              <w:rPr>
                <w:rFonts w:hint="eastAsia" w:eastAsiaTheme="minorEastAsia"/>
                <w:szCs w:val="21"/>
                <w:highlight w:val="none"/>
                <w:lang w:val="en-US" w:eastAsia="zh-CN"/>
              </w:rPr>
              <w:t>2</w:t>
            </w:r>
          </w:p>
        </w:tc>
        <w:tc>
          <w:tcPr>
            <w:tcW w:w="431" w:type="pct"/>
            <w:vAlign w:val="center"/>
          </w:tcPr>
          <w:p w14:paraId="6B057162">
            <w:pPr>
              <w:jc w:val="center"/>
              <w:rPr>
                <w:highlight w:val="none"/>
              </w:rPr>
            </w:pPr>
            <w:r>
              <w:rPr>
                <w:color w:val="000000"/>
                <w:highlight w:val="none"/>
              </w:rPr>
              <w:t xml:space="preserve">8.9 </w:t>
            </w:r>
          </w:p>
        </w:tc>
        <w:tc>
          <w:tcPr>
            <w:tcW w:w="431" w:type="pct"/>
            <w:vAlign w:val="center"/>
          </w:tcPr>
          <w:p w14:paraId="4ADBAD38">
            <w:pPr>
              <w:jc w:val="center"/>
              <w:rPr>
                <w:highlight w:val="none"/>
              </w:rPr>
            </w:pPr>
            <w:r>
              <w:rPr>
                <w:color w:val="000000"/>
                <w:highlight w:val="none"/>
              </w:rPr>
              <w:t xml:space="preserve">10.0 </w:t>
            </w:r>
          </w:p>
        </w:tc>
        <w:tc>
          <w:tcPr>
            <w:tcW w:w="431" w:type="pct"/>
            <w:vAlign w:val="center"/>
          </w:tcPr>
          <w:p w14:paraId="6891177B">
            <w:pPr>
              <w:jc w:val="center"/>
              <w:rPr>
                <w:highlight w:val="none"/>
              </w:rPr>
            </w:pPr>
            <w:r>
              <w:rPr>
                <w:color w:val="000000"/>
                <w:highlight w:val="none"/>
              </w:rPr>
              <w:t xml:space="preserve">10.1 </w:t>
            </w:r>
          </w:p>
        </w:tc>
        <w:tc>
          <w:tcPr>
            <w:tcW w:w="926" w:type="pct"/>
            <w:vAlign w:val="bottom"/>
          </w:tcPr>
          <w:p w14:paraId="213EB73B">
            <w:pPr>
              <w:jc w:val="center"/>
              <w:rPr>
                <w:rFonts w:eastAsiaTheme="minorEastAsia"/>
                <w:color w:val="000000"/>
                <w:szCs w:val="21"/>
                <w:highlight w:val="none"/>
              </w:rPr>
            </w:pPr>
            <w:r>
              <w:rPr>
                <w:color w:val="000000"/>
                <w:sz w:val="22"/>
                <w:szCs w:val="22"/>
                <w:highlight w:val="none"/>
              </w:rPr>
              <w:t xml:space="preserve">9.68 </w:t>
            </w:r>
          </w:p>
        </w:tc>
        <w:tc>
          <w:tcPr>
            <w:tcW w:w="772" w:type="pct"/>
            <w:vMerge w:val="continue"/>
            <w:vAlign w:val="center"/>
          </w:tcPr>
          <w:p w14:paraId="7E081B56">
            <w:pPr>
              <w:jc w:val="center"/>
              <w:rPr>
                <w:rFonts w:eastAsiaTheme="minorEastAsia"/>
                <w:szCs w:val="21"/>
                <w:highlight w:val="none"/>
              </w:rPr>
            </w:pPr>
          </w:p>
        </w:tc>
        <w:tc>
          <w:tcPr>
            <w:tcW w:w="771" w:type="pct"/>
            <w:vMerge w:val="continue"/>
            <w:vAlign w:val="center"/>
          </w:tcPr>
          <w:p w14:paraId="180DA855">
            <w:pPr>
              <w:jc w:val="center"/>
              <w:rPr>
                <w:rFonts w:eastAsiaTheme="minorEastAsia"/>
                <w:szCs w:val="21"/>
                <w:highlight w:val="none"/>
              </w:rPr>
            </w:pPr>
          </w:p>
        </w:tc>
      </w:tr>
      <w:tr w14:paraId="06E3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restart"/>
            <w:vAlign w:val="center"/>
          </w:tcPr>
          <w:p w14:paraId="0B3FFB25">
            <w:pPr>
              <w:jc w:val="center"/>
              <w:rPr>
                <w:rFonts w:eastAsiaTheme="minorEastAsia"/>
                <w:szCs w:val="21"/>
                <w:highlight w:val="none"/>
              </w:rPr>
            </w:pPr>
            <w:r>
              <w:rPr>
                <w:rFonts w:hint="eastAsia" w:eastAsiaTheme="minorEastAsia"/>
                <w:szCs w:val="21"/>
                <w:highlight w:val="none"/>
              </w:rPr>
              <w:t>6</w:t>
            </w:r>
          </w:p>
        </w:tc>
        <w:tc>
          <w:tcPr>
            <w:tcW w:w="1150" w:type="dxa"/>
            <w:vAlign w:val="center"/>
          </w:tcPr>
          <w:p w14:paraId="30927C74">
            <w:pPr>
              <w:jc w:val="center"/>
              <w:rPr>
                <w:rFonts w:eastAsiaTheme="minorEastAsia"/>
                <w:szCs w:val="21"/>
                <w:highlight w:val="none"/>
              </w:rPr>
            </w:pPr>
            <w:r>
              <w:rPr>
                <w:rFonts w:hint="eastAsia" w:eastAsiaTheme="minorEastAsia"/>
                <w:szCs w:val="21"/>
                <w:highlight w:val="none"/>
                <w:lang w:val="en-US" w:eastAsia="zh-CN"/>
              </w:rPr>
              <w:t>1</w:t>
            </w:r>
          </w:p>
        </w:tc>
        <w:tc>
          <w:tcPr>
            <w:tcW w:w="431" w:type="pct"/>
            <w:vAlign w:val="center"/>
          </w:tcPr>
          <w:p w14:paraId="7EBD48F3">
            <w:pPr>
              <w:jc w:val="center"/>
              <w:rPr>
                <w:rFonts w:eastAsiaTheme="minorEastAsia"/>
                <w:color w:val="000000"/>
                <w:szCs w:val="21"/>
                <w:highlight w:val="none"/>
              </w:rPr>
            </w:pPr>
            <w:r>
              <w:rPr>
                <w:color w:val="000000"/>
                <w:szCs w:val="21"/>
                <w:highlight w:val="none"/>
              </w:rPr>
              <w:t>19.5</w:t>
            </w:r>
          </w:p>
        </w:tc>
        <w:tc>
          <w:tcPr>
            <w:tcW w:w="431" w:type="pct"/>
            <w:vAlign w:val="center"/>
          </w:tcPr>
          <w:p w14:paraId="3EA4982D">
            <w:pPr>
              <w:jc w:val="center"/>
              <w:rPr>
                <w:rFonts w:eastAsiaTheme="minorEastAsia"/>
                <w:color w:val="000000"/>
                <w:szCs w:val="21"/>
                <w:highlight w:val="none"/>
              </w:rPr>
            </w:pPr>
            <w:r>
              <w:rPr>
                <w:color w:val="000000"/>
                <w:szCs w:val="21"/>
                <w:highlight w:val="none"/>
              </w:rPr>
              <w:t>19.9</w:t>
            </w:r>
          </w:p>
        </w:tc>
        <w:tc>
          <w:tcPr>
            <w:tcW w:w="431" w:type="pct"/>
            <w:vAlign w:val="center"/>
          </w:tcPr>
          <w:p w14:paraId="4B6EC09A">
            <w:pPr>
              <w:jc w:val="center"/>
              <w:rPr>
                <w:rFonts w:eastAsiaTheme="minorEastAsia"/>
                <w:color w:val="000000"/>
                <w:szCs w:val="21"/>
                <w:highlight w:val="none"/>
              </w:rPr>
            </w:pPr>
            <w:r>
              <w:rPr>
                <w:color w:val="000000"/>
                <w:szCs w:val="21"/>
                <w:highlight w:val="none"/>
              </w:rPr>
              <w:t>19.8</w:t>
            </w:r>
          </w:p>
        </w:tc>
        <w:tc>
          <w:tcPr>
            <w:tcW w:w="926" w:type="pct"/>
            <w:vAlign w:val="bottom"/>
          </w:tcPr>
          <w:p w14:paraId="72DFAE02">
            <w:pPr>
              <w:jc w:val="center"/>
              <w:rPr>
                <w:rFonts w:eastAsiaTheme="minorEastAsia"/>
                <w:color w:val="000000"/>
                <w:szCs w:val="21"/>
                <w:highlight w:val="none"/>
              </w:rPr>
            </w:pPr>
            <w:r>
              <w:rPr>
                <w:color w:val="000000"/>
                <w:sz w:val="22"/>
                <w:szCs w:val="22"/>
                <w:highlight w:val="none"/>
              </w:rPr>
              <w:t xml:space="preserve">19.73 </w:t>
            </w:r>
          </w:p>
        </w:tc>
        <w:tc>
          <w:tcPr>
            <w:tcW w:w="772" w:type="pct"/>
            <w:vMerge w:val="restart"/>
            <w:vAlign w:val="center"/>
          </w:tcPr>
          <w:p w14:paraId="0A23694F">
            <w:pPr>
              <w:jc w:val="center"/>
              <w:rPr>
                <w:rFonts w:eastAsiaTheme="minorEastAsia"/>
                <w:szCs w:val="21"/>
                <w:highlight w:val="none"/>
              </w:rPr>
            </w:pPr>
            <w:r>
              <w:rPr>
                <w:rFonts w:eastAsiaTheme="minorEastAsia"/>
                <w:szCs w:val="21"/>
                <w:highlight w:val="none"/>
              </w:rPr>
              <w:t>19.93</w:t>
            </w:r>
          </w:p>
        </w:tc>
        <w:tc>
          <w:tcPr>
            <w:tcW w:w="771" w:type="pct"/>
            <w:vMerge w:val="restart"/>
            <w:vAlign w:val="center"/>
          </w:tcPr>
          <w:p w14:paraId="0B8BA271">
            <w:pPr>
              <w:jc w:val="center"/>
              <w:rPr>
                <w:rFonts w:eastAsiaTheme="minorEastAsia"/>
                <w:szCs w:val="21"/>
                <w:highlight w:val="none"/>
              </w:rPr>
            </w:pPr>
            <w:r>
              <w:rPr>
                <w:rFonts w:eastAsiaTheme="minorEastAsia"/>
                <w:szCs w:val="21"/>
                <w:highlight w:val="none"/>
              </w:rPr>
              <w:t>0.28</w:t>
            </w:r>
          </w:p>
        </w:tc>
      </w:tr>
      <w:tr w14:paraId="0C81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continue"/>
            <w:vAlign w:val="center"/>
          </w:tcPr>
          <w:p w14:paraId="5FA5FECB">
            <w:pPr>
              <w:jc w:val="center"/>
              <w:rPr>
                <w:rFonts w:eastAsiaTheme="minorEastAsia"/>
                <w:szCs w:val="21"/>
                <w:highlight w:val="none"/>
              </w:rPr>
            </w:pPr>
          </w:p>
        </w:tc>
        <w:tc>
          <w:tcPr>
            <w:tcW w:w="1150" w:type="dxa"/>
            <w:vAlign w:val="center"/>
          </w:tcPr>
          <w:p w14:paraId="7E2C8D01">
            <w:pPr>
              <w:jc w:val="center"/>
              <w:rPr>
                <w:rFonts w:eastAsiaTheme="minorEastAsia"/>
                <w:szCs w:val="21"/>
                <w:highlight w:val="none"/>
              </w:rPr>
            </w:pPr>
            <w:r>
              <w:rPr>
                <w:rFonts w:hint="eastAsia" w:eastAsiaTheme="minorEastAsia"/>
                <w:szCs w:val="21"/>
                <w:highlight w:val="none"/>
                <w:lang w:val="en-US" w:eastAsia="zh-CN"/>
              </w:rPr>
              <w:t>2</w:t>
            </w:r>
          </w:p>
        </w:tc>
        <w:tc>
          <w:tcPr>
            <w:tcW w:w="431" w:type="pct"/>
            <w:vAlign w:val="center"/>
          </w:tcPr>
          <w:p w14:paraId="0E2A68B6">
            <w:pPr>
              <w:jc w:val="center"/>
              <w:rPr>
                <w:rFonts w:eastAsiaTheme="minorEastAsia"/>
                <w:color w:val="000000"/>
                <w:szCs w:val="21"/>
                <w:highlight w:val="none"/>
              </w:rPr>
            </w:pPr>
            <w:r>
              <w:rPr>
                <w:color w:val="000000"/>
                <w:szCs w:val="21"/>
                <w:highlight w:val="none"/>
              </w:rPr>
              <w:t>19.8</w:t>
            </w:r>
          </w:p>
        </w:tc>
        <w:tc>
          <w:tcPr>
            <w:tcW w:w="431" w:type="pct"/>
            <w:vAlign w:val="center"/>
          </w:tcPr>
          <w:p w14:paraId="0BFFBFA6">
            <w:pPr>
              <w:jc w:val="center"/>
              <w:rPr>
                <w:rFonts w:eastAsiaTheme="minorEastAsia"/>
                <w:color w:val="000000"/>
                <w:szCs w:val="21"/>
                <w:highlight w:val="none"/>
              </w:rPr>
            </w:pPr>
            <w:r>
              <w:rPr>
                <w:color w:val="000000"/>
                <w:szCs w:val="21"/>
                <w:highlight w:val="none"/>
              </w:rPr>
              <w:t>20.0</w:t>
            </w:r>
          </w:p>
        </w:tc>
        <w:tc>
          <w:tcPr>
            <w:tcW w:w="431" w:type="pct"/>
            <w:vAlign w:val="center"/>
          </w:tcPr>
          <w:p w14:paraId="6D67F940">
            <w:pPr>
              <w:jc w:val="center"/>
              <w:rPr>
                <w:rFonts w:eastAsiaTheme="minorEastAsia"/>
                <w:color w:val="000000"/>
                <w:szCs w:val="21"/>
                <w:highlight w:val="none"/>
              </w:rPr>
            </w:pPr>
            <w:r>
              <w:rPr>
                <w:color w:val="000000"/>
                <w:szCs w:val="21"/>
                <w:highlight w:val="none"/>
              </w:rPr>
              <w:t>20.6</w:t>
            </w:r>
          </w:p>
        </w:tc>
        <w:tc>
          <w:tcPr>
            <w:tcW w:w="926" w:type="pct"/>
            <w:vAlign w:val="bottom"/>
          </w:tcPr>
          <w:p w14:paraId="48D2040F">
            <w:pPr>
              <w:jc w:val="center"/>
              <w:rPr>
                <w:rFonts w:eastAsiaTheme="minorEastAsia"/>
                <w:color w:val="000000"/>
                <w:szCs w:val="21"/>
                <w:highlight w:val="none"/>
              </w:rPr>
            </w:pPr>
            <w:r>
              <w:rPr>
                <w:color w:val="000000"/>
                <w:sz w:val="22"/>
                <w:szCs w:val="22"/>
                <w:highlight w:val="none"/>
              </w:rPr>
              <w:t xml:space="preserve">20.13 </w:t>
            </w:r>
          </w:p>
        </w:tc>
        <w:tc>
          <w:tcPr>
            <w:tcW w:w="772" w:type="pct"/>
            <w:vMerge w:val="continue"/>
            <w:vAlign w:val="center"/>
          </w:tcPr>
          <w:p w14:paraId="3BF29E5F">
            <w:pPr>
              <w:jc w:val="center"/>
              <w:rPr>
                <w:rFonts w:eastAsiaTheme="minorEastAsia"/>
                <w:szCs w:val="21"/>
                <w:highlight w:val="none"/>
              </w:rPr>
            </w:pPr>
          </w:p>
        </w:tc>
        <w:tc>
          <w:tcPr>
            <w:tcW w:w="771" w:type="pct"/>
            <w:vMerge w:val="continue"/>
            <w:vAlign w:val="center"/>
          </w:tcPr>
          <w:p w14:paraId="65B28411">
            <w:pPr>
              <w:jc w:val="center"/>
              <w:rPr>
                <w:rFonts w:eastAsiaTheme="minorEastAsia"/>
                <w:szCs w:val="21"/>
                <w:highlight w:val="none"/>
              </w:rPr>
            </w:pPr>
          </w:p>
        </w:tc>
      </w:tr>
      <w:tr w14:paraId="5E40F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restart"/>
            <w:vAlign w:val="center"/>
          </w:tcPr>
          <w:p w14:paraId="5C413C46">
            <w:pPr>
              <w:jc w:val="center"/>
              <w:rPr>
                <w:rFonts w:eastAsiaTheme="minorEastAsia"/>
                <w:szCs w:val="21"/>
                <w:highlight w:val="none"/>
              </w:rPr>
            </w:pPr>
            <w:r>
              <w:rPr>
                <w:rFonts w:hint="eastAsia" w:eastAsiaTheme="minorEastAsia"/>
                <w:szCs w:val="21"/>
                <w:highlight w:val="none"/>
              </w:rPr>
              <w:t>7</w:t>
            </w:r>
          </w:p>
        </w:tc>
        <w:tc>
          <w:tcPr>
            <w:tcW w:w="1150" w:type="dxa"/>
            <w:vAlign w:val="center"/>
          </w:tcPr>
          <w:p w14:paraId="4DB23E3E">
            <w:pPr>
              <w:jc w:val="center"/>
              <w:rPr>
                <w:rFonts w:eastAsiaTheme="minorEastAsia"/>
                <w:szCs w:val="21"/>
                <w:highlight w:val="none"/>
              </w:rPr>
            </w:pPr>
            <w:r>
              <w:rPr>
                <w:rFonts w:hint="eastAsia" w:eastAsiaTheme="minorEastAsia"/>
                <w:szCs w:val="21"/>
                <w:highlight w:val="none"/>
                <w:lang w:val="en-US" w:eastAsia="zh-CN"/>
              </w:rPr>
              <w:t>1</w:t>
            </w:r>
          </w:p>
        </w:tc>
        <w:tc>
          <w:tcPr>
            <w:tcW w:w="431" w:type="pct"/>
            <w:vAlign w:val="center"/>
          </w:tcPr>
          <w:p w14:paraId="4A0AB12E">
            <w:pPr>
              <w:jc w:val="center"/>
              <w:rPr>
                <w:rFonts w:eastAsiaTheme="minorEastAsia"/>
                <w:color w:val="000000"/>
                <w:szCs w:val="21"/>
                <w:highlight w:val="none"/>
              </w:rPr>
            </w:pPr>
            <w:r>
              <w:rPr>
                <w:color w:val="000000"/>
                <w:highlight w:val="none"/>
              </w:rPr>
              <w:t xml:space="preserve">15.4 </w:t>
            </w:r>
          </w:p>
        </w:tc>
        <w:tc>
          <w:tcPr>
            <w:tcW w:w="431" w:type="pct"/>
            <w:vAlign w:val="center"/>
          </w:tcPr>
          <w:p w14:paraId="173C17B1">
            <w:pPr>
              <w:jc w:val="center"/>
              <w:rPr>
                <w:rFonts w:eastAsiaTheme="minorEastAsia"/>
                <w:color w:val="000000"/>
                <w:szCs w:val="21"/>
                <w:highlight w:val="none"/>
              </w:rPr>
            </w:pPr>
            <w:r>
              <w:rPr>
                <w:color w:val="000000"/>
                <w:highlight w:val="none"/>
              </w:rPr>
              <w:t xml:space="preserve">14.4 </w:t>
            </w:r>
          </w:p>
        </w:tc>
        <w:tc>
          <w:tcPr>
            <w:tcW w:w="431" w:type="pct"/>
            <w:vAlign w:val="center"/>
          </w:tcPr>
          <w:p w14:paraId="77659CF1">
            <w:pPr>
              <w:jc w:val="center"/>
              <w:rPr>
                <w:rFonts w:eastAsiaTheme="minorEastAsia"/>
                <w:color w:val="000000"/>
                <w:szCs w:val="21"/>
                <w:highlight w:val="none"/>
              </w:rPr>
            </w:pPr>
            <w:r>
              <w:rPr>
                <w:color w:val="000000"/>
                <w:highlight w:val="none"/>
              </w:rPr>
              <w:t>14.1</w:t>
            </w:r>
          </w:p>
        </w:tc>
        <w:tc>
          <w:tcPr>
            <w:tcW w:w="926" w:type="pct"/>
            <w:vAlign w:val="bottom"/>
          </w:tcPr>
          <w:p w14:paraId="1042B9DF">
            <w:pPr>
              <w:jc w:val="center"/>
              <w:rPr>
                <w:rFonts w:eastAsiaTheme="minorEastAsia"/>
                <w:color w:val="000000"/>
                <w:szCs w:val="21"/>
                <w:highlight w:val="none"/>
              </w:rPr>
            </w:pPr>
            <w:r>
              <w:rPr>
                <w:color w:val="000000"/>
                <w:sz w:val="22"/>
                <w:szCs w:val="22"/>
                <w:highlight w:val="none"/>
              </w:rPr>
              <w:t xml:space="preserve">14.63 </w:t>
            </w:r>
          </w:p>
        </w:tc>
        <w:tc>
          <w:tcPr>
            <w:tcW w:w="772" w:type="pct"/>
            <w:vMerge w:val="restart"/>
            <w:vAlign w:val="center"/>
          </w:tcPr>
          <w:p w14:paraId="6AE15E46">
            <w:pPr>
              <w:jc w:val="center"/>
              <w:rPr>
                <w:rFonts w:eastAsiaTheme="minorEastAsia"/>
                <w:szCs w:val="21"/>
                <w:highlight w:val="none"/>
              </w:rPr>
            </w:pPr>
            <w:r>
              <w:rPr>
                <w:rFonts w:eastAsiaTheme="minorEastAsia"/>
                <w:szCs w:val="21"/>
                <w:highlight w:val="none"/>
              </w:rPr>
              <w:t>14.57</w:t>
            </w:r>
          </w:p>
        </w:tc>
        <w:tc>
          <w:tcPr>
            <w:tcW w:w="771" w:type="pct"/>
            <w:vMerge w:val="restart"/>
            <w:vAlign w:val="center"/>
          </w:tcPr>
          <w:p w14:paraId="62EAA175">
            <w:pPr>
              <w:jc w:val="center"/>
              <w:rPr>
                <w:rFonts w:eastAsiaTheme="minorEastAsia"/>
                <w:szCs w:val="21"/>
                <w:highlight w:val="none"/>
              </w:rPr>
            </w:pPr>
            <w:r>
              <w:rPr>
                <w:rFonts w:eastAsiaTheme="minorEastAsia"/>
                <w:szCs w:val="21"/>
                <w:highlight w:val="none"/>
              </w:rPr>
              <w:t>0.09</w:t>
            </w:r>
          </w:p>
        </w:tc>
      </w:tr>
      <w:bookmarkEnd w:id="36"/>
      <w:tr w14:paraId="28A6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pct"/>
            <w:vMerge w:val="continue"/>
            <w:vAlign w:val="center"/>
          </w:tcPr>
          <w:p w14:paraId="7CC1A23D">
            <w:pPr>
              <w:jc w:val="center"/>
              <w:rPr>
                <w:rFonts w:eastAsiaTheme="minorEastAsia"/>
                <w:szCs w:val="21"/>
                <w:highlight w:val="none"/>
              </w:rPr>
            </w:pPr>
          </w:p>
        </w:tc>
        <w:tc>
          <w:tcPr>
            <w:tcW w:w="1150" w:type="dxa"/>
            <w:vAlign w:val="center"/>
          </w:tcPr>
          <w:p w14:paraId="2B79E7E3">
            <w:pPr>
              <w:jc w:val="center"/>
              <w:rPr>
                <w:rFonts w:eastAsiaTheme="minorEastAsia"/>
                <w:szCs w:val="21"/>
                <w:highlight w:val="none"/>
              </w:rPr>
            </w:pPr>
            <w:r>
              <w:rPr>
                <w:rFonts w:hint="eastAsia" w:eastAsiaTheme="minorEastAsia"/>
                <w:szCs w:val="21"/>
                <w:highlight w:val="none"/>
                <w:lang w:val="en-US" w:eastAsia="zh-CN"/>
              </w:rPr>
              <w:t>2</w:t>
            </w:r>
          </w:p>
        </w:tc>
        <w:tc>
          <w:tcPr>
            <w:tcW w:w="431" w:type="pct"/>
            <w:vAlign w:val="center"/>
          </w:tcPr>
          <w:p w14:paraId="7EC1AE54">
            <w:pPr>
              <w:jc w:val="center"/>
              <w:rPr>
                <w:rFonts w:eastAsiaTheme="minorEastAsia"/>
                <w:color w:val="000000"/>
                <w:szCs w:val="21"/>
                <w:highlight w:val="none"/>
              </w:rPr>
            </w:pPr>
            <w:r>
              <w:rPr>
                <w:color w:val="000000"/>
                <w:highlight w:val="none"/>
              </w:rPr>
              <w:t xml:space="preserve">15.0 </w:t>
            </w:r>
          </w:p>
        </w:tc>
        <w:tc>
          <w:tcPr>
            <w:tcW w:w="431" w:type="pct"/>
            <w:vAlign w:val="center"/>
          </w:tcPr>
          <w:p w14:paraId="6749B590">
            <w:pPr>
              <w:jc w:val="center"/>
              <w:rPr>
                <w:rFonts w:eastAsiaTheme="minorEastAsia"/>
                <w:color w:val="000000"/>
                <w:szCs w:val="21"/>
                <w:highlight w:val="none"/>
              </w:rPr>
            </w:pPr>
            <w:r>
              <w:rPr>
                <w:color w:val="000000"/>
                <w:highlight w:val="none"/>
              </w:rPr>
              <w:t xml:space="preserve">13.9 </w:t>
            </w:r>
          </w:p>
        </w:tc>
        <w:tc>
          <w:tcPr>
            <w:tcW w:w="431" w:type="pct"/>
            <w:vAlign w:val="center"/>
          </w:tcPr>
          <w:p w14:paraId="11C7487B">
            <w:pPr>
              <w:jc w:val="center"/>
              <w:rPr>
                <w:rFonts w:eastAsiaTheme="minorEastAsia"/>
                <w:color w:val="000000"/>
                <w:szCs w:val="21"/>
                <w:highlight w:val="none"/>
              </w:rPr>
            </w:pPr>
            <w:r>
              <w:rPr>
                <w:color w:val="000000"/>
                <w:highlight w:val="none"/>
              </w:rPr>
              <w:t>14.6</w:t>
            </w:r>
          </w:p>
        </w:tc>
        <w:tc>
          <w:tcPr>
            <w:tcW w:w="926" w:type="pct"/>
            <w:vAlign w:val="bottom"/>
          </w:tcPr>
          <w:p w14:paraId="25345121">
            <w:pPr>
              <w:jc w:val="center"/>
              <w:rPr>
                <w:rFonts w:eastAsiaTheme="minorEastAsia"/>
                <w:color w:val="000000"/>
                <w:szCs w:val="21"/>
                <w:highlight w:val="none"/>
              </w:rPr>
            </w:pPr>
            <w:r>
              <w:rPr>
                <w:color w:val="000000"/>
                <w:sz w:val="22"/>
                <w:szCs w:val="22"/>
                <w:highlight w:val="none"/>
              </w:rPr>
              <w:t xml:space="preserve">14.50 </w:t>
            </w:r>
          </w:p>
        </w:tc>
        <w:tc>
          <w:tcPr>
            <w:tcW w:w="772" w:type="pct"/>
            <w:vMerge w:val="continue"/>
            <w:vAlign w:val="center"/>
          </w:tcPr>
          <w:p w14:paraId="63192C8A">
            <w:pPr>
              <w:jc w:val="center"/>
              <w:rPr>
                <w:rFonts w:eastAsiaTheme="minorEastAsia"/>
                <w:szCs w:val="21"/>
                <w:highlight w:val="none"/>
              </w:rPr>
            </w:pPr>
          </w:p>
        </w:tc>
        <w:tc>
          <w:tcPr>
            <w:tcW w:w="771" w:type="pct"/>
            <w:vMerge w:val="continue"/>
            <w:vAlign w:val="center"/>
          </w:tcPr>
          <w:p w14:paraId="57CE83E5">
            <w:pPr>
              <w:jc w:val="center"/>
              <w:rPr>
                <w:rFonts w:eastAsiaTheme="minorEastAsia"/>
                <w:szCs w:val="21"/>
                <w:highlight w:val="none"/>
              </w:rPr>
            </w:pPr>
          </w:p>
        </w:tc>
      </w:tr>
    </w:tbl>
    <w:p w14:paraId="2A2A2095">
      <w:pPr>
        <w:jc w:val="center"/>
        <w:rPr>
          <w:highlight w:val="none"/>
        </w:rPr>
      </w:pPr>
    </w:p>
    <w:p w14:paraId="10C9013F">
      <w:pPr>
        <w:widowControl/>
        <w:snapToGrid w:val="0"/>
        <w:spacing w:line="300" w:lineRule="auto"/>
        <w:ind w:firstLine="442"/>
        <w:rPr>
          <w:rFonts w:hAnsi="Cambria Math"/>
          <w:sz w:val="22"/>
          <w:highlight w:val="none"/>
        </w:rPr>
      </w:pPr>
      <w:r>
        <w:rPr>
          <w:sz w:val="24"/>
          <w:highlight w:val="none"/>
        </w:rPr>
        <w:t>使用表1～表3中的数据，由下列公式确定样品A、样品B和样品C的实验室间离差的h值和实验室内离差的k值。</w:t>
      </w:r>
    </w:p>
    <w:p w14:paraId="4758B11E">
      <w:pPr>
        <w:widowControl/>
        <w:snapToGrid w:val="0"/>
        <w:spacing w:line="300" w:lineRule="auto"/>
        <w:ind w:firstLine="442"/>
        <w:rPr>
          <w:sz w:val="22"/>
          <w:highlight w:val="none"/>
        </w:rPr>
      </w:pPr>
      <m:oMathPara>
        <m:oMath>
          <m:sSub>
            <m:sSubPr>
              <m:ctrlPr>
                <w:rPr>
                  <w:rFonts w:ascii="Cambria Math" w:hAnsi="Cambria Math"/>
                  <w:i/>
                  <w:sz w:val="22"/>
                  <w:highlight w:val="none"/>
                </w:rPr>
              </m:ctrlPr>
            </m:sSubPr>
            <m:e>
              <m:r>
                <m:rPr/>
                <w:rPr>
                  <w:rFonts w:ascii="Cambria Math" w:hAnsi="Cambria Math"/>
                  <w:sz w:val="22"/>
                  <w:highlight w:val="none"/>
                </w:rPr>
                <m:t>ℎ</m:t>
              </m:r>
              <m:ctrlPr>
                <w:rPr>
                  <w:rFonts w:ascii="Cambria Math" w:hAnsi="Cambria Math"/>
                  <w:i/>
                  <w:sz w:val="22"/>
                  <w:highlight w:val="none"/>
                </w:rPr>
              </m:ctrlPr>
            </m:e>
            <m:sub>
              <m:r>
                <m:rPr/>
                <w:rPr>
                  <w:rFonts w:ascii="Cambria Math" w:hAnsi="Cambria Math"/>
                  <w:sz w:val="22"/>
                  <w:highlight w:val="none"/>
                </w:rPr>
                <m:t>i</m:t>
              </m:r>
              <m:ctrlPr>
                <w:rPr>
                  <w:rFonts w:ascii="Cambria Math" w:hAnsi="Cambria Math"/>
                  <w:i/>
                  <w:sz w:val="22"/>
                  <w:highlight w:val="none"/>
                </w:rPr>
              </m:ctrlPr>
            </m:sub>
          </m:sSub>
          <m:r>
            <m:rPr/>
            <w:rPr>
              <w:rFonts w:ascii="Cambria Math" w:hAnsi="Cambria Math"/>
              <w:sz w:val="22"/>
              <w:highlight w:val="none"/>
            </w:rPr>
            <m:t>=</m:t>
          </m:r>
          <m:f>
            <m:fPr>
              <m:ctrlPr>
                <w:rPr>
                  <w:rFonts w:ascii="Cambria Math" w:hAnsi="Cambria Math"/>
                  <w:i/>
                  <w:sz w:val="22"/>
                  <w:highlight w:val="none"/>
                </w:rPr>
              </m:ctrlPr>
            </m:fPr>
            <m:num>
              <m:sSub>
                <m:sSubPr>
                  <m:ctrlPr>
                    <w:rPr>
                      <w:rFonts w:ascii="Cambria Math" w:hAnsi="Cambria Math"/>
                      <w:i/>
                      <w:sz w:val="22"/>
                      <w:highlight w:val="none"/>
                    </w:rPr>
                  </m:ctrlPr>
                </m:sSubPr>
                <m:e>
                  <m:acc>
                    <m:accPr>
                      <m:chr m:val="̅"/>
                      <m:ctrlPr>
                        <w:rPr>
                          <w:rFonts w:ascii="Cambria Math" w:hAnsi="Cambria Math"/>
                          <w:i/>
                          <w:sz w:val="22"/>
                          <w:highlight w:val="none"/>
                        </w:rPr>
                      </m:ctrlPr>
                    </m:accPr>
                    <m:e>
                      <m:r>
                        <m:rPr/>
                        <w:rPr>
                          <w:rFonts w:ascii="Cambria Math" w:hAnsi="Cambria Math"/>
                          <w:sz w:val="22"/>
                          <w:highlight w:val="none"/>
                        </w:rPr>
                        <m:t>y</m:t>
                      </m:r>
                      <m:ctrlPr>
                        <w:rPr>
                          <w:rFonts w:ascii="Cambria Math" w:hAnsi="Cambria Math"/>
                          <w:i/>
                          <w:sz w:val="22"/>
                          <w:highlight w:val="none"/>
                        </w:rPr>
                      </m:ctrlPr>
                    </m:e>
                  </m:acc>
                  <m:ctrlPr>
                    <w:rPr>
                      <w:rFonts w:ascii="Cambria Math" w:hAnsi="Cambria Math"/>
                      <w:i/>
                      <w:sz w:val="22"/>
                      <w:highlight w:val="none"/>
                    </w:rPr>
                  </m:ctrlPr>
                </m:e>
                <m:sub>
                  <m:r>
                    <m:rPr/>
                    <w:rPr>
                      <w:rFonts w:ascii="Cambria Math" w:hAnsi="Cambria Math"/>
                      <w:sz w:val="22"/>
                      <w:highlight w:val="none"/>
                    </w:rPr>
                    <m:t>i∙∙</m:t>
                  </m:r>
                  <m:ctrlPr>
                    <w:rPr>
                      <w:rFonts w:ascii="Cambria Math" w:hAnsi="Cambria Math"/>
                      <w:i/>
                      <w:sz w:val="22"/>
                      <w:highlight w:val="none"/>
                    </w:rPr>
                  </m:ctrlPr>
                </m:sub>
              </m:sSub>
              <m:r>
                <m:rPr/>
                <w:rPr>
                  <w:rFonts w:ascii="Cambria Math" w:hAnsi="Cambria Math"/>
                  <w:sz w:val="22"/>
                  <w:highlight w:val="none"/>
                </w:rPr>
                <m:t>−</m:t>
              </m:r>
              <m:acc>
                <m:accPr>
                  <m:chr m:val="̿"/>
                  <m:ctrlPr>
                    <w:rPr>
                      <w:rFonts w:ascii="Cambria Math" w:hAnsi="Cambria Math"/>
                      <w:i/>
                      <w:sz w:val="22"/>
                      <w:highlight w:val="none"/>
                    </w:rPr>
                  </m:ctrlPr>
                </m:accPr>
                <m:e>
                  <m:r>
                    <m:rPr/>
                    <w:rPr>
                      <w:rFonts w:ascii="Cambria Math" w:hAnsi="Cambria Math"/>
                      <w:sz w:val="22"/>
                      <w:highlight w:val="none"/>
                    </w:rPr>
                    <m:t>y</m:t>
                  </m:r>
                  <m:ctrlPr>
                    <w:rPr>
                      <w:rFonts w:ascii="Cambria Math" w:hAnsi="Cambria Math"/>
                      <w:i/>
                      <w:sz w:val="22"/>
                      <w:highlight w:val="none"/>
                    </w:rPr>
                  </m:ctrlPr>
                </m:e>
              </m:acc>
              <m:ctrlPr>
                <w:rPr>
                  <w:rFonts w:ascii="Cambria Math" w:hAnsi="Cambria Math"/>
                  <w:i/>
                  <w:sz w:val="22"/>
                  <w:highlight w:val="none"/>
                </w:rPr>
              </m:ctrlPr>
            </m:num>
            <m:den>
              <m:rad>
                <m:radPr>
                  <m:degHide m:val="1"/>
                  <m:ctrlPr>
                    <w:rPr>
                      <w:rFonts w:ascii="Cambria Math" w:hAnsi="Cambria Math"/>
                      <w:i/>
                      <w:sz w:val="22"/>
                      <w:highlight w:val="none"/>
                    </w:rPr>
                  </m:ctrlPr>
                </m:radPr>
                <m:deg>
                  <m:ctrlPr>
                    <w:rPr>
                      <w:rFonts w:ascii="Cambria Math" w:hAnsi="Cambria Math"/>
                      <w:i/>
                      <w:sz w:val="22"/>
                      <w:highlight w:val="none"/>
                    </w:rPr>
                  </m:ctrlPr>
                </m:deg>
                <m:e>
                  <m:f>
                    <m:fPr>
                      <m:ctrlPr>
                        <w:rPr>
                          <w:rFonts w:ascii="Cambria Math" w:hAnsi="Cambria Math"/>
                          <w:i/>
                          <w:sz w:val="22"/>
                          <w:highlight w:val="none"/>
                        </w:rPr>
                      </m:ctrlPr>
                    </m:fPr>
                    <m:num>
                      <m:r>
                        <m:rPr/>
                        <w:rPr>
                          <w:rFonts w:ascii="Cambria Math" w:hAnsi="Cambria Math"/>
                          <w:sz w:val="22"/>
                          <w:highlight w:val="none"/>
                        </w:rPr>
                        <m:t>1</m:t>
                      </m:r>
                      <m:ctrlPr>
                        <w:rPr>
                          <w:rFonts w:ascii="Cambria Math" w:hAnsi="Cambria Math"/>
                          <w:i/>
                          <w:sz w:val="22"/>
                          <w:highlight w:val="none"/>
                        </w:rPr>
                      </m:ctrlPr>
                    </m:num>
                    <m:den>
                      <m:d>
                        <m:dPr>
                          <m:ctrlPr>
                            <w:rPr>
                              <w:rFonts w:ascii="Cambria Math" w:hAnsi="Cambria Math"/>
                              <w:i/>
                              <w:sz w:val="22"/>
                              <w:highlight w:val="none"/>
                            </w:rPr>
                          </m:ctrlPr>
                        </m:dPr>
                        <m:e>
                          <m:r>
                            <m:rPr/>
                            <w:rPr>
                              <w:rFonts w:ascii="Cambria Math" w:hAnsi="Cambria Math"/>
                              <w:sz w:val="22"/>
                              <w:highlight w:val="none"/>
                            </w:rPr>
                            <m:t>p−1</m:t>
                          </m:r>
                          <m:ctrlPr>
                            <w:rPr>
                              <w:rFonts w:ascii="Cambria Math" w:hAnsi="Cambria Math"/>
                              <w:i/>
                              <w:sz w:val="22"/>
                              <w:highlight w:val="none"/>
                            </w:rPr>
                          </m:ctrlPr>
                        </m:e>
                      </m:d>
                      <m:ctrlPr>
                        <w:rPr>
                          <w:rFonts w:ascii="Cambria Math" w:hAnsi="Cambria Math"/>
                          <w:i/>
                          <w:sz w:val="22"/>
                          <w:highlight w:val="none"/>
                        </w:rPr>
                      </m:ctrlPr>
                    </m:den>
                  </m:f>
                  <m:nary>
                    <m:naryPr>
                      <m:chr m:val="∑"/>
                      <m:limLoc m:val="undOvr"/>
                      <m:ctrlPr>
                        <w:rPr>
                          <w:rFonts w:ascii="Cambria Math" w:hAnsi="Cambria Math"/>
                          <w:i/>
                          <w:sz w:val="22"/>
                          <w:highlight w:val="none"/>
                        </w:rPr>
                      </m:ctrlPr>
                    </m:naryPr>
                    <m:sub>
                      <m:r>
                        <m:rPr/>
                        <w:rPr>
                          <w:rFonts w:ascii="Cambria Math" w:hAnsi="Cambria Math"/>
                          <w:sz w:val="22"/>
                          <w:highlight w:val="none"/>
                        </w:rPr>
                        <m:t>i=1</m:t>
                      </m:r>
                      <m:ctrlPr>
                        <w:rPr>
                          <w:rFonts w:ascii="Cambria Math" w:hAnsi="Cambria Math"/>
                          <w:i/>
                          <w:sz w:val="22"/>
                          <w:highlight w:val="none"/>
                        </w:rPr>
                      </m:ctrlPr>
                    </m:sub>
                    <m:sup>
                      <m:r>
                        <m:rPr/>
                        <w:rPr>
                          <w:rFonts w:ascii="Cambria Math" w:hAnsi="Cambria Math"/>
                          <w:sz w:val="22"/>
                          <w:highlight w:val="none"/>
                        </w:rPr>
                        <m:t>p</m:t>
                      </m:r>
                      <m:ctrlPr>
                        <w:rPr>
                          <w:rFonts w:ascii="Cambria Math" w:hAnsi="Cambria Math"/>
                          <w:i/>
                          <w:sz w:val="22"/>
                          <w:highlight w:val="none"/>
                        </w:rPr>
                      </m:ctrlPr>
                    </m:sup>
                    <m:e>
                      <m:sSup>
                        <m:sSupPr>
                          <m:ctrlPr>
                            <w:rPr>
                              <w:rFonts w:ascii="Cambria Math" w:hAnsi="Cambria Math"/>
                              <w:i/>
                              <w:sz w:val="22"/>
                              <w:highlight w:val="none"/>
                            </w:rPr>
                          </m:ctrlPr>
                        </m:sSupPr>
                        <m:e>
                          <m:d>
                            <m:dPr>
                              <m:ctrlPr>
                                <w:rPr>
                                  <w:rFonts w:ascii="Cambria Math" w:hAnsi="Cambria Math"/>
                                  <w:i/>
                                  <w:sz w:val="22"/>
                                  <w:highlight w:val="none"/>
                                </w:rPr>
                              </m:ctrlPr>
                            </m:dPr>
                            <m:e>
                              <m:sSub>
                                <m:sSubPr>
                                  <m:ctrlPr>
                                    <w:rPr>
                                      <w:rFonts w:ascii="Cambria Math" w:hAnsi="Cambria Math"/>
                                      <w:i/>
                                      <w:sz w:val="22"/>
                                      <w:highlight w:val="none"/>
                                    </w:rPr>
                                  </m:ctrlPr>
                                </m:sSubPr>
                                <m:e>
                                  <m:acc>
                                    <m:accPr>
                                      <m:chr m:val="̅"/>
                                      <m:ctrlPr>
                                        <w:rPr>
                                          <w:rFonts w:ascii="Cambria Math" w:hAnsi="Cambria Math"/>
                                          <w:i/>
                                          <w:sz w:val="22"/>
                                          <w:highlight w:val="none"/>
                                        </w:rPr>
                                      </m:ctrlPr>
                                    </m:accPr>
                                    <m:e>
                                      <m:r>
                                        <m:rPr/>
                                        <w:rPr>
                                          <w:rFonts w:ascii="Cambria Math" w:hAnsi="Cambria Math"/>
                                          <w:sz w:val="22"/>
                                          <w:highlight w:val="none"/>
                                        </w:rPr>
                                        <m:t>y</m:t>
                                      </m:r>
                                      <m:ctrlPr>
                                        <w:rPr>
                                          <w:rFonts w:ascii="Cambria Math" w:hAnsi="Cambria Math"/>
                                          <w:i/>
                                          <w:sz w:val="22"/>
                                          <w:highlight w:val="none"/>
                                        </w:rPr>
                                      </m:ctrlPr>
                                    </m:e>
                                  </m:acc>
                                  <m:ctrlPr>
                                    <w:rPr>
                                      <w:rFonts w:ascii="Cambria Math" w:hAnsi="Cambria Math"/>
                                      <w:i/>
                                      <w:sz w:val="22"/>
                                      <w:highlight w:val="none"/>
                                    </w:rPr>
                                  </m:ctrlPr>
                                </m:e>
                                <m:sub>
                                  <m:r>
                                    <m:rPr/>
                                    <w:rPr>
                                      <w:rFonts w:ascii="Cambria Math" w:hAnsi="Cambria Math"/>
                                      <w:sz w:val="22"/>
                                      <w:highlight w:val="none"/>
                                    </w:rPr>
                                    <m:t>i∙</m:t>
                                  </m:r>
                                  <m:ctrlPr>
                                    <w:rPr>
                                      <w:rFonts w:ascii="Cambria Math" w:hAnsi="Cambria Math"/>
                                      <w:i/>
                                      <w:sz w:val="22"/>
                                      <w:highlight w:val="none"/>
                                    </w:rPr>
                                  </m:ctrlPr>
                                </m:sub>
                              </m:sSub>
                              <m:r>
                                <m:rPr/>
                                <w:rPr>
                                  <w:rFonts w:ascii="Cambria Math" w:hAnsi="Cambria Math"/>
                                  <w:sz w:val="22"/>
                                  <w:highlight w:val="none"/>
                                </w:rPr>
                                <m:t>−</m:t>
                              </m:r>
                              <m:acc>
                                <m:accPr>
                                  <m:chr m:val="̿"/>
                                  <m:ctrlPr>
                                    <w:rPr>
                                      <w:rFonts w:ascii="Cambria Math" w:hAnsi="Cambria Math"/>
                                      <w:i/>
                                      <w:sz w:val="22"/>
                                      <w:highlight w:val="none"/>
                                    </w:rPr>
                                  </m:ctrlPr>
                                </m:accPr>
                                <m:e>
                                  <m:r>
                                    <m:rPr/>
                                    <w:rPr>
                                      <w:rFonts w:ascii="Cambria Math" w:hAnsi="Cambria Math"/>
                                      <w:sz w:val="22"/>
                                      <w:highlight w:val="none"/>
                                    </w:rPr>
                                    <m:t>y</m:t>
                                  </m:r>
                                  <m:ctrlPr>
                                    <w:rPr>
                                      <w:rFonts w:ascii="Cambria Math" w:hAnsi="Cambria Math"/>
                                      <w:i/>
                                      <w:sz w:val="22"/>
                                      <w:highlight w:val="none"/>
                                    </w:rPr>
                                  </m:ctrlPr>
                                </m:e>
                              </m:acc>
                              <m:ctrlPr>
                                <w:rPr>
                                  <w:rFonts w:ascii="Cambria Math" w:hAnsi="Cambria Math"/>
                                  <w:i/>
                                  <w:sz w:val="22"/>
                                  <w:highlight w:val="none"/>
                                </w:rPr>
                              </m:ctrlPr>
                            </m:e>
                          </m:d>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e>
                  </m:nary>
                  <m:ctrlPr>
                    <w:rPr>
                      <w:rFonts w:ascii="Cambria Math" w:hAnsi="Cambria Math"/>
                      <w:i/>
                      <w:sz w:val="22"/>
                      <w:highlight w:val="none"/>
                    </w:rPr>
                  </m:ctrlPr>
                </m:e>
              </m:rad>
              <m:ctrlPr>
                <w:rPr>
                  <w:rFonts w:ascii="Cambria Math" w:hAnsi="Cambria Math"/>
                  <w:i/>
                  <w:sz w:val="22"/>
                  <w:highlight w:val="none"/>
                </w:rPr>
              </m:ctrlPr>
            </m:den>
          </m:f>
        </m:oMath>
      </m:oMathPara>
    </w:p>
    <w:p w14:paraId="77063A67">
      <w:pPr>
        <w:widowControl/>
        <w:snapToGrid w:val="0"/>
        <w:spacing w:line="300" w:lineRule="auto"/>
        <w:ind w:firstLine="442"/>
        <w:rPr>
          <w:sz w:val="22"/>
          <w:highlight w:val="none"/>
        </w:rPr>
      </w:pPr>
      <m:oMathPara>
        <m:oMath>
          <m:sSub>
            <m:sSubPr>
              <m:ctrlPr>
                <w:rPr>
                  <w:rFonts w:ascii="Cambria Math" w:hAnsi="Cambria Math"/>
                  <w:i/>
                  <w:sz w:val="22"/>
                  <w:highlight w:val="none"/>
                </w:rPr>
              </m:ctrlPr>
            </m:sSubPr>
            <m:e>
              <m:r>
                <m:rPr/>
                <w:rPr>
                  <w:rFonts w:ascii="Cambria Math" w:hAnsi="Cambria Math"/>
                  <w:sz w:val="22"/>
                  <w:highlight w:val="none"/>
                </w:rPr>
                <m:t>k</m:t>
              </m:r>
              <m:ctrlPr>
                <w:rPr>
                  <w:rFonts w:ascii="Cambria Math" w:hAnsi="Cambria Math"/>
                  <w:i/>
                  <w:sz w:val="22"/>
                  <w:highlight w:val="none"/>
                </w:rPr>
              </m:ctrlPr>
            </m:e>
            <m:sub>
              <m:r>
                <m:rPr/>
                <w:rPr>
                  <w:rFonts w:ascii="Cambria Math" w:hAnsi="Cambria Math"/>
                  <w:sz w:val="22"/>
                  <w:highlight w:val="none"/>
                </w:rPr>
                <m:t>i</m:t>
              </m:r>
              <m:ctrlPr>
                <w:rPr>
                  <w:rFonts w:ascii="Cambria Math" w:hAnsi="Cambria Math"/>
                  <w:i/>
                  <w:sz w:val="22"/>
                  <w:highlight w:val="none"/>
                </w:rPr>
              </m:ctrlPr>
            </m:sub>
          </m:sSub>
          <m:r>
            <m:rPr/>
            <w:rPr>
              <w:rFonts w:ascii="Cambria Math" w:hAnsi="Cambria Math"/>
              <w:sz w:val="22"/>
              <w:highlight w:val="none"/>
            </w:rPr>
            <m:t>=</m:t>
          </m:r>
          <m:sSub>
            <m:sSubPr>
              <m:ctrlPr>
                <w:rPr>
                  <w:rFonts w:ascii="Cambria Math" w:hAnsi="Cambria Math"/>
                  <w:i/>
                  <w:sz w:val="22"/>
                  <w:highlight w:val="none"/>
                </w:rPr>
              </m:ctrlPr>
            </m:sSubPr>
            <m:e>
              <m:r>
                <m:rPr/>
                <w:rPr>
                  <w:rFonts w:ascii="Cambria Math" w:hAnsi="Cambria Math"/>
                  <w:sz w:val="22"/>
                  <w:highlight w:val="none"/>
                </w:rPr>
                <m:t>s</m:t>
              </m:r>
              <m:ctrlPr>
                <w:rPr>
                  <w:rFonts w:ascii="Cambria Math" w:hAnsi="Cambria Math"/>
                  <w:i/>
                  <w:sz w:val="22"/>
                  <w:highlight w:val="none"/>
                </w:rPr>
              </m:ctrlPr>
            </m:e>
            <m:sub>
              <m:r>
                <m:rPr/>
                <w:rPr>
                  <w:rFonts w:ascii="Cambria Math" w:hAnsi="Cambria Math"/>
                  <w:sz w:val="22"/>
                  <w:highlight w:val="none"/>
                </w:rPr>
                <m:t>i</m:t>
              </m:r>
              <m:ctrlPr>
                <w:rPr>
                  <w:rFonts w:ascii="Cambria Math" w:hAnsi="Cambria Math"/>
                  <w:i/>
                  <w:sz w:val="22"/>
                  <w:highlight w:val="none"/>
                </w:rPr>
              </m:ctrlPr>
            </m:sub>
          </m:sSub>
          <m:rad>
            <m:radPr>
              <m:degHide m:val="1"/>
              <m:ctrlPr>
                <w:rPr>
                  <w:rFonts w:ascii="Cambria Math" w:hAnsi="Cambria Math"/>
                  <w:i/>
                  <w:sz w:val="22"/>
                  <w:highlight w:val="none"/>
                </w:rPr>
              </m:ctrlPr>
            </m:radPr>
            <m:deg>
              <m:ctrlPr>
                <w:rPr>
                  <w:rFonts w:ascii="Cambria Math" w:hAnsi="Cambria Math"/>
                  <w:i/>
                  <w:sz w:val="22"/>
                  <w:highlight w:val="none"/>
                </w:rPr>
              </m:ctrlPr>
            </m:deg>
            <m:e>
              <m:f>
                <m:fPr>
                  <m:ctrlPr>
                    <w:rPr>
                      <w:rFonts w:ascii="Cambria Math" w:hAnsi="Cambria Math"/>
                      <w:i/>
                      <w:sz w:val="22"/>
                      <w:highlight w:val="none"/>
                    </w:rPr>
                  </m:ctrlPr>
                </m:fPr>
                <m:num>
                  <m:r>
                    <m:rPr/>
                    <w:rPr>
                      <w:rFonts w:ascii="Cambria Math" w:hAnsi="Cambria Math"/>
                      <w:sz w:val="22"/>
                      <w:highlight w:val="none"/>
                    </w:rPr>
                    <m:t>p</m:t>
                  </m:r>
                  <m:ctrlPr>
                    <w:rPr>
                      <w:rFonts w:ascii="Cambria Math" w:hAnsi="Cambria Math"/>
                      <w:i/>
                      <w:sz w:val="22"/>
                      <w:highlight w:val="none"/>
                    </w:rPr>
                  </m:ctrlPr>
                </m:num>
                <m:den>
                  <m:nary>
                    <m:naryPr>
                      <m:chr m:val="∑"/>
                      <m:limLoc m:val="undOvr"/>
                      <m:ctrlPr>
                        <w:rPr>
                          <w:rFonts w:ascii="Cambria Math" w:hAnsi="Cambria Math"/>
                          <w:i/>
                          <w:sz w:val="22"/>
                          <w:highlight w:val="none"/>
                        </w:rPr>
                      </m:ctrlPr>
                    </m:naryPr>
                    <m:sub>
                      <m:r>
                        <m:rPr/>
                        <w:rPr>
                          <w:rFonts w:ascii="Cambria Math" w:hAnsi="Cambria Math"/>
                          <w:sz w:val="22"/>
                          <w:highlight w:val="none"/>
                        </w:rPr>
                        <m:t>i=1</m:t>
                      </m:r>
                      <m:ctrlPr>
                        <w:rPr>
                          <w:rFonts w:ascii="Cambria Math" w:hAnsi="Cambria Math"/>
                          <w:i/>
                          <w:sz w:val="22"/>
                          <w:highlight w:val="none"/>
                        </w:rPr>
                      </m:ctrlPr>
                    </m:sub>
                    <m:sup>
                      <m:r>
                        <m:rPr/>
                        <w:rPr>
                          <w:rFonts w:ascii="Cambria Math" w:hAnsi="Cambria Math"/>
                          <w:sz w:val="22"/>
                          <w:highlight w:val="none"/>
                        </w:rPr>
                        <m:t>p</m:t>
                      </m:r>
                      <m:ctrlPr>
                        <w:rPr>
                          <w:rFonts w:ascii="Cambria Math" w:hAnsi="Cambria Math"/>
                          <w:i/>
                          <w:sz w:val="22"/>
                          <w:highlight w:val="none"/>
                        </w:rPr>
                      </m:ctrlPr>
                    </m:sup>
                    <m:e>
                      <m:sSubSup>
                        <m:sSubSupPr>
                          <m:ctrlPr>
                            <w:rPr>
                              <w:rFonts w:ascii="Cambria Math" w:hAnsi="Cambria Math"/>
                              <w:i/>
                              <w:sz w:val="22"/>
                              <w:highlight w:val="none"/>
                            </w:rPr>
                          </m:ctrlPr>
                        </m:sSubSupPr>
                        <m:e>
                          <m:r>
                            <m:rPr/>
                            <w:rPr>
                              <w:rFonts w:ascii="Cambria Math" w:hAnsi="Cambria Math"/>
                              <w:sz w:val="22"/>
                              <w:highlight w:val="none"/>
                            </w:rPr>
                            <m:t>s</m:t>
                          </m:r>
                          <m:ctrlPr>
                            <w:rPr>
                              <w:rFonts w:ascii="Cambria Math" w:hAnsi="Cambria Math"/>
                              <w:i/>
                              <w:sz w:val="22"/>
                              <w:highlight w:val="none"/>
                            </w:rPr>
                          </m:ctrlPr>
                        </m:e>
                        <m:sub>
                          <m:r>
                            <m:rPr/>
                            <w:rPr>
                              <w:rFonts w:ascii="Cambria Math" w:hAnsi="Cambria Math"/>
                              <w:sz w:val="22"/>
                              <w:highlight w:val="none"/>
                            </w:rPr>
                            <m:t>i</m:t>
                          </m:r>
                          <m:ctrlPr>
                            <w:rPr>
                              <w:rFonts w:ascii="Cambria Math" w:hAnsi="Cambria Math"/>
                              <w:i/>
                              <w:sz w:val="22"/>
                              <w:highlight w:val="none"/>
                            </w:rPr>
                          </m:ctrlPr>
                        </m:sub>
                        <m:sup>
                          <m:r>
                            <m:rPr/>
                            <w:rPr>
                              <w:rFonts w:ascii="Cambria Math" w:hAnsi="Cambria Math"/>
                              <w:sz w:val="22"/>
                              <w:highlight w:val="none"/>
                            </w:rPr>
                            <m:t>2</m:t>
                          </m:r>
                          <m:ctrlPr>
                            <w:rPr>
                              <w:rFonts w:ascii="Cambria Math" w:hAnsi="Cambria Math"/>
                              <w:i/>
                              <w:sz w:val="22"/>
                              <w:highlight w:val="none"/>
                            </w:rPr>
                          </m:ctrlPr>
                        </m:sup>
                      </m:sSubSup>
                      <m:ctrlPr>
                        <w:rPr>
                          <w:rFonts w:ascii="Cambria Math" w:hAnsi="Cambria Math"/>
                          <w:i/>
                          <w:sz w:val="22"/>
                          <w:highlight w:val="none"/>
                        </w:rPr>
                      </m:ctrlPr>
                    </m:e>
                  </m:nary>
                  <m:ctrlPr>
                    <w:rPr>
                      <w:rFonts w:ascii="Cambria Math" w:hAnsi="Cambria Math"/>
                      <w:i/>
                      <w:sz w:val="22"/>
                      <w:highlight w:val="none"/>
                    </w:rPr>
                  </m:ctrlPr>
                </m:den>
              </m:f>
              <m:ctrlPr>
                <w:rPr>
                  <w:rFonts w:ascii="Cambria Math" w:hAnsi="Cambria Math"/>
                  <w:i/>
                  <w:sz w:val="22"/>
                  <w:highlight w:val="none"/>
                </w:rPr>
              </m:ctrlPr>
            </m:e>
          </m:rad>
        </m:oMath>
      </m:oMathPara>
    </w:p>
    <w:p w14:paraId="66C84DAB">
      <w:pPr>
        <w:widowControl/>
        <w:snapToGrid w:val="0"/>
        <w:spacing w:line="300" w:lineRule="auto"/>
        <w:ind w:firstLine="442"/>
        <w:rPr>
          <w:sz w:val="24"/>
          <w:highlight w:val="none"/>
        </w:rPr>
      </w:pPr>
      <w:r>
        <w:rPr>
          <w:sz w:val="24"/>
          <w:highlight w:val="none"/>
        </w:rPr>
        <w:t>获得的</w:t>
      </w:r>
      <w:r>
        <w:rPr>
          <w:i/>
          <w:sz w:val="24"/>
          <w:highlight w:val="none"/>
        </w:rPr>
        <w:t>h</w:t>
      </w:r>
      <w:r>
        <w:rPr>
          <w:sz w:val="24"/>
          <w:highlight w:val="none"/>
        </w:rPr>
        <w:t>值和</w:t>
      </w:r>
      <w:r>
        <w:rPr>
          <w:i/>
          <w:sz w:val="24"/>
          <w:highlight w:val="none"/>
        </w:rPr>
        <w:t>k</w:t>
      </w:r>
      <w:r>
        <w:rPr>
          <w:sz w:val="24"/>
          <w:highlight w:val="none"/>
        </w:rPr>
        <w:t>值见表</w:t>
      </w:r>
      <w:r>
        <w:rPr>
          <w:rFonts w:hint="eastAsia"/>
          <w:sz w:val="24"/>
          <w:highlight w:val="none"/>
          <w:lang w:val="en-US" w:eastAsia="zh-CN"/>
        </w:rPr>
        <w:t>4</w:t>
      </w:r>
      <w:r>
        <w:rPr>
          <w:sz w:val="24"/>
          <w:highlight w:val="none"/>
        </w:rPr>
        <w:t>。</w:t>
      </w:r>
    </w:p>
    <w:p w14:paraId="5C44AEC8">
      <w:pPr>
        <w:jc w:val="center"/>
        <w:rPr>
          <w:rFonts w:eastAsia="黑体"/>
          <w:bCs/>
          <w:szCs w:val="21"/>
          <w:highlight w:val="none"/>
        </w:rPr>
      </w:pPr>
      <w:r>
        <w:rPr>
          <w:rFonts w:eastAsia="黑体"/>
          <w:bCs/>
          <w:szCs w:val="21"/>
          <w:highlight w:val="none"/>
        </w:rPr>
        <w:t>表4样品A、B和C的</w:t>
      </w:r>
      <w:r>
        <w:rPr>
          <w:rFonts w:eastAsia="黑体"/>
          <w:bCs/>
          <w:i/>
          <w:szCs w:val="21"/>
          <w:highlight w:val="none"/>
        </w:rPr>
        <w:t>h</w:t>
      </w:r>
      <w:r>
        <w:rPr>
          <w:rFonts w:eastAsia="黑体"/>
          <w:bCs/>
          <w:szCs w:val="21"/>
          <w:highlight w:val="none"/>
        </w:rPr>
        <w:t>值和</w:t>
      </w:r>
      <w:r>
        <w:rPr>
          <w:rFonts w:eastAsia="黑体"/>
          <w:bCs/>
          <w:i/>
          <w:szCs w:val="21"/>
          <w:highlight w:val="none"/>
        </w:rPr>
        <w:t>k</w:t>
      </w:r>
      <w:r>
        <w:rPr>
          <w:rFonts w:eastAsia="黑体"/>
          <w:bCs/>
          <w:szCs w:val="21"/>
          <w:highlight w:val="none"/>
        </w:rPr>
        <w:t>值</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213"/>
        <w:gridCol w:w="1213"/>
        <w:gridCol w:w="1411"/>
        <w:gridCol w:w="1213"/>
        <w:gridCol w:w="1411"/>
        <w:gridCol w:w="1213"/>
      </w:tblGrid>
      <w:tr w14:paraId="12195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pct"/>
            <w:vMerge w:val="restart"/>
            <w:vAlign w:val="center"/>
          </w:tcPr>
          <w:p w14:paraId="36591B26">
            <w:pPr>
              <w:jc w:val="center"/>
              <w:rPr>
                <w:rFonts w:eastAsiaTheme="minorEastAsia"/>
                <w:kern w:val="0"/>
                <w:szCs w:val="21"/>
                <w:highlight w:val="none"/>
              </w:rPr>
            </w:pPr>
            <w:r>
              <w:rPr>
                <w:rFonts w:eastAsiaTheme="minorEastAsia"/>
                <w:kern w:val="0"/>
                <w:szCs w:val="21"/>
                <w:highlight w:val="none"/>
              </w:rPr>
              <w:t>实验室</w:t>
            </w:r>
          </w:p>
        </w:tc>
        <w:tc>
          <w:tcPr>
            <w:tcW w:w="1306" w:type="pct"/>
            <w:gridSpan w:val="2"/>
            <w:vAlign w:val="center"/>
          </w:tcPr>
          <w:p w14:paraId="6537C795">
            <w:pPr>
              <w:jc w:val="center"/>
              <w:rPr>
                <w:rFonts w:eastAsiaTheme="minorEastAsia"/>
                <w:kern w:val="0"/>
                <w:szCs w:val="21"/>
                <w:highlight w:val="none"/>
              </w:rPr>
            </w:pPr>
            <w:r>
              <w:rPr>
                <w:rFonts w:eastAsiaTheme="minorEastAsia"/>
                <w:kern w:val="0"/>
                <w:szCs w:val="21"/>
                <w:highlight w:val="none"/>
              </w:rPr>
              <w:t>样品A</w:t>
            </w:r>
          </w:p>
        </w:tc>
        <w:tc>
          <w:tcPr>
            <w:tcW w:w="1413" w:type="pct"/>
            <w:gridSpan w:val="2"/>
            <w:vAlign w:val="center"/>
          </w:tcPr>
          <w:p w14:paraId="7B34FE3D">
            <w:pPr>
              <w:jc w:val="center"/>
              <w:rPr>
                <w:rFonts w:eastAsiaTheme="minorEastAsia"/>
                <w:kern w:val="0"/>
                <w:szCs w:val="21"/>
                <w:highlight w:val="none"/>
              </w:rPr>
            </w:pPr>
            <w:r>
              <w:rPr>
                <w:rFonts w:eastAsiaTheme="minorEastAsia"/>
                <w:kern w:val="0"/>
                <w:szCs w:val="21"/>
                <w:highlight w:val="none"/>
              </w:rPr>
              <w:t>样品B</w:t>
            </w:r>
          </w:p>
        </w:tc>
        <w:tc>
          <w:tcPr>
            <w:tcW w:w="1413" w:type="pct"/>
            <w:gridSpan w:val="2"/>
            <w:vAlign w:val="center"/>
          </w:tcPr>
          <w:p w14:paraId="5964AC0D">
            <w:pPr>
              <w:jc w:val="center"/>
              <w:rPr>
                <w:rFonts w:eastAsiaTheme="minorEastAsia"/>
                <w:kern w:val="0"/>
                <w:szCs w:val="21"/>
                <w:highlight w:val="none"/>
              </w:rPr>
            </w:pPr>
            <w:r>
              <w:rPr>
                <w:rFonts w:eastAsiaTheme="minorEastAsia"/>
                <w:kern w:val="0"/>
                <w:szCs w:val="21"/>
                <w:highlight w:val="none"/>
              </w:rPr>
              <w:t>样品C</w:t>
            </w:r>
          </w:p>
        </w:tc>
      </w:tr>
      <w:tr w14:paraId="2D86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pct"/>
            <w:vMerge w:val="continue"/>
            <w:vAlign w:val="center"/>
          </w:tcPr>
          <w:p w14:paraId="5F47AD21">
            <w:pPr>
              <w:jc w:val="center"/>
              <w:rPr>
                <w:rFonts w:eastAsiaTheme="minorEastAsia"/>
                <w:kern w:val="0"/>
                <w:szCs w:val="21"/>
                <w:highlight w:val="none"/>
              </w:rPr>
            </w:pPr>
          </w:p>
        </w:tc>
        <w:tc>
          <w:tcPr>
            <w:tcW w:w="653" w:type="pct"/>
            <w:vAlign w:val="center"/>
          </w:tcPr>
          <w:p w14:paraId="7E180E8E">
            <w:pPr>
              <w:jc w:val="center"/>
              <w:rPr>
                <w:rFonts w:eastAsiaTheme="minorEastAsia"/>
                <w:i/>
                <w:kern w:val="0"/>
                <w:szCs w:val="21"/>
                <w:highlight w:val="none"/>
              </w:rPr>
            </w:pPr>
            <w:r>
              <w:rPr>
                <w:rFonts w:eastAsiaTheme="minorEastAsia"/>
                <w:i/>
                <w:kern w:val="0"/>
                <w:szCs w:val="21"/>
                <w:highlight w:val="none"/>
              </w:rPr>
              <w:t>hi</w:t>
            </w:r>
          </w:p>
        </w:tc>
        <w:tc>
          <w:tcPr>
            <w:tcW w:w="653" w:type="pct"/>
            <w:vAlign w:val="center"/>
          </w:tcPr>
          <w:p w14:paraId="5BF5DCAF">
            <w:pPr>
              <w:jc w:val="center"/>
              <w:rPr>
                <w:rFonts w:eastAsiaTheme="minorEastAsia"/>
                <w:i/>
                <w:kern w:val="0"/>
                <w:szCs w:val="21"/>
                <w:highlight w:val="none"/>
              </w:rPr>
            </w:pPr>
            <w:r>
              <w:rPr>
                <w:rFonts w:eastAsiaTheme="minorEastAsia"/>
                <w:i/>
                <w:kern w:val="0"/>
                <w:szCs w:val="21"/>
                <w:highlight w:val="none"/>
              </w:rPr>
              <w:t>ki</w:t>
            </w:r>
          </w:p>
        </w:tc>
        <w:tc>
          <w:tcPr>
            <w:tcW w:w="760" w:type="pct"/>
            <w:vAlign w:val="center"/>
          </w:tcPr>
          <w:p w14:paraId="18D9C70E">
            <w:pPr>
              <w:jc w:val="center"/>
              <w:rPr>
                <w:rFonts w:eastAsiaTheme="minorEastAsia"/>
                <w:i/>
                <w:kern w:val="0"/>
                <w:szCs w:val="21"/>
                <w:highlight w:val="none"/>
              </w:rPr>
            </w:pPr>
            <w:r>
              <w:rPr>
                <w:rFonts w:eastAsiaTheme="minorEastAsia"/>
                <w:i/>
                <w:kern w:val="0"/>
                <w:szCs w:val="21"/>
                <w:highlight w:val="none"/>
              </w:rPr>
              <w:t>hi</w:t>
            </w:r>
          </w:p>
        </w:tc>
        <w:tc>
          <w:tcPr>
            <w:tcW w:w="653" w:type="pct"/>
            <w:vAlign w:val="center"/>
          </w:tcPr>
          <w:p w14:paraId="103CF3D7">
            <w:pPr>
              <w:jc w:val="center"/>
              <w:rPr>
                <w:rFonts w:eastAsiaTheme="minorEastAsia"/>
                <w:i/>
                <w:kern w:val="0"/>
                <w:szCs w:val="21"/>
                <w:highlight w:val="none"/>
              </w:rPr>
            </w:pPr>
            <w:r>
              <w:rPr>
                <w:rFonts w:eastAsiaTheme="minorEastAsia"/>
                <w:i/>
                <w:kern w:val="0"/>
                <w:szCs w:val="21"/>
                <w:highlight w:val="none"/>
              </w:rPr>
              <w:t>ki</w:t>
            </w:r>
          </w:p>
        </w:tc>
        <w:tc>
          <w:tcPr>
            <w:tcW w:w="760" w:type="pct"/>
            <w:vAlign w:val="center"/>
          </w:tcPr>
          <w:p w14:paraId="03562AE4">
            <w:pPr>
              <w:jc w:val="center"/>
              <w:rPr>
                <w:rFonts w:eastAsiaTheme="minorEastAsia"/>
                <w:i/>
                <w:kern w:val="0"/>
                <w:szCs w:val="21"/>
                <w:highlight w:val="none"/>
              </w:rPr>
            </w:pPr>
            <w:r>
              <w:rPr>
                <w:rFonts w:eastAsiaTheme="minorEastAsia"/>
                <w:i/>
                <w:kern w:val="0"/>
                <w:szCs w:val="21"/>
                <w:highlight w:val="none"/>
              </w:rPr>
              <w:t>hi</w:t>
            </w:r>
          </w:p>
        </w:tc>
        <w:tc>
          <w:tcPr>
            <w:tcW w:w="653" w:type="pct"/>
            <w:vAlign w:val="center"/>
          </w:tcPr>
          <w:p w14:paraId="41A25FFD">
            <w:pPr>
              <w:jc w:val="center"/>
              <w:rPr>
                <w:rFonts w:eastAsiaTheme="minorEastAsia"/>
                <w:i/>
                <w:kern w:val="0"/>
                <w:szCs w:val="21"/>
                <w:highlight w:val="none"/>
              </w:rPr>
            </w:pPr>
            <w:r>
              <w:rPr>
                <w:rFonts w:eastAsiaTheme="minorEastAsia"/>
                <w:i/>
                <w:kern w:val="0"/>
                <w:szCs w:val="21"/>
                <w:highlight w:val="none"/>
              </w:rPr>
              <w:t>ki</w:t>
            </w:r>
          </w:p>
        </w:tc>
      </w:tr>
      <w:tr w14:paraId="5F5B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pct"/>
            <w:vAlign w:val="center"/>
          </w:tcPr>
          <w:p w14:paraId="33084158">
            <w:pPr>
              <w:jc w:val="center"/>
              <w:rPr>
                <w:rFonts w:eastAsiaTheme="minorEastAsia"/>
                <w:szCs w:val="21"/>
                <w:highlight w:val="none"/>
              </w:rPr>
            </w:pPr>
            <w:bookmarkStart w:id="37" w:name="_Hlk207354004"/>
            <w:r>
              <w:rPr>
                <w:rFonts w:hint="eastAsia" w:eastAsiaTheme="minorEastAsia"/>
                <w:szCs w:val="21"/>
                <w:highlight w:val="none"/>
              </w:rPr>
              <w:t>1</w:t>
            </w:r>
          </w:p>
        </w:tc>
        <w:tc>
          <w:tcPr>
            <w:tcW w:w="653" w:type="pct"/>
            <w:vAlign w:val="center"/>
          </w:tcPr>
          <w:p w14:paraId="4FE3A915">
            <w:pPr>
              <w:jc w:val="center"/>
              <w:rPr>
                <w:rFonts w:eastAsiaTheme="minorEastAsia"/>
                <w:kern w:val="0"/>
                <w:szCs w:val="21"/>
                <w:highlight w:val="none"/>
              </w:rPr>
            </w:pPr>
            <w:r>
              <w:rPr>
                <w:rFonts w:eastAsiaTheme="minorEastAsia"/>
                <w:kern w:val="0"/>
                <w:szCs w:val="21"/>
                <w:highlight w:val="none"/>
              </w:rPr>
              <w:t>0.</w:t>
            </w:r>
            <w:r>
              <w:rPr>
                <w:rFonts w:hint="eastAsia" w:eastAsiaTheme="minorEastAsia"/>
                <w:kern w:val="0"/>
                <w:szCs w:val="21"/>
                <w:highlight w:val="none"/>
              </w:rPr>
              <w:t>49</w:t>
            </w:r>
          </w:p>
        </w:tc>
        <w:tc>
          <w:tcPr>
            <w:tcW w:w="653" w:type="pct"/>
            <w:vAlign w:val="center"/>
          </w:tcPr>
          <w:p w14:paraId="4DDAC116">
            <w:pPr>
              <w:jc w:val="center"/>
              <w:rPr>
                <w:rFonts w:eastAsiaTheme="minorEastAsia"/>
                <w:kern w:val="0"/>
                <w:szCs w:val="21"/>
                <w:highlight w:val="none"/>
              </w:rPr>
            </w:pPr>
            <w:r>
              <w:rPr>
                <w:rFonts w:eastAsiaTheme="minorEastAsia"/>
                <w:kern w:val="0"/>
                <w:szCs w:val="21"/>
                <w:highlight w:val="none"/>
              </w:rPr>
              <w:t>1.</w:t>
            </w:r>
            <w:r>
              <w:rPr>
                <w:rFonts w:hint="eastAsia" w:eastAsiaTheme="minorEastAsia"/>
                <w:kern w:val="0"/>
                <w:szCs w:val="21"/>
                <w:highlight w:val="none"/>
              </w:rPr>
              <w:t>5</w:t>
            </w:r>
            <w:r>
              <w:rPr>
                <w:rFonts w:eastAsiaTheme="minorEastAsia"/>
                <w:kern w:val="0"/>
                <w:szCs w:val="21"/>
                <w:highlight w:val="none"/>
              </w:rPr>
              <w:t>4</w:t>
            </w:r>
          </w:p>
        </w:tc>
        <w:tc>
          <w:tcPr>
            <w:tcW w:w="760" w:type="pct"/>
            <w:vAlign w:val="center"/>
          </w:tcPr>
          <w:p w14:paraId="774C89BC">
            <w:pPr>
              <w:jc w:val="center"/>
              <w:rPr>
                <w:rFonts w:eastAsiaTheme="minorEastAsia"/>
                <w:kern w:val="0"/>
                <w:szCs w:val="21"/>
                <w:highlight w:val="none"/>
              </w:rPr>
            </w:pPr>
            <w:r>
              <w:rPr>
                <w:rFonts w:eastAsiaTheme="minorEastAsia"/>
                <w:kern w:val="0"/>
                <w:szCs w:val="21"/>
                <w:highlight w:val="none"/>
              </w:rPr>
              <w:t>1.30</w:t>
            </w:r>
          </w:p>
        </w:tc>
        <w:tc>
          <w:tcPr>
            <w:tcW w:w="653" w:type="pct"/>
            <w:vAlign w:val="center"/>
          </w:tcPr>
          <w:p w14:paraId="6FB1BC37">
            <w:pPr>
              <w:jc w:val="center"/>
              <w:rPr>
                <w:rFonts w:eastAsiaTheme="minorEastAsia"/>
                <w:kern w:val="0"/>
                <w:szCs w:val="21"/>
                <w:highlight w:val="none"/>
              </w:rPr>
            </w:pPr>
            <w:r>
              <w:rPr>
                <w:rFonts w:eastAsiaTheme="minorEastAsia"/>
                <w:kern w:val="0"/>
                <w:szCs w:val="21"/>
                <w:highlight w:val="none"/>
              </w:rPr>
              <w:t>1.72</w:t>
            </w:r>
          </w:p>
        </w:tc>
        <w:tc>
          <w:tcPr>
            <w:tcW w:w="760" w:type="pct"/>
            <w:vAlign w:val="center"/>
          </w:tcPr>
          <w:p w14:paraId="430EA27E">
            <w:pPr>
              <w:jc w:val="center"/>
              <w:rPr>
                <w:rFonts w:eastAsiaTheme="minorEastAsia"/>
                <w:kern w:val="0"/>
                <w:szCs w:val="21"/>
                <w:highlight w:val="none"/>
              </w:rPr>
            </w:pPr>
            <w:r>
              <w:rPr>
                <w:rFonts w:eastAsiaTheme="minorEastAsia"/>
                <w:kern w:val="0"/>
                <w:szCs w:val="21"/>
                <w:highlight w:val="none"/>
              </w:rPr>
              <w:t>0.26</w:t>
            </w:r>
          </w:p>
        </w:tc>
        <w:tc>
          <w:tcPr>
            <w:tcW w:w="653" w:type="pct"/>
            <w:vAlign w:val="center"/>
          </w:tcPr>
          <w:p w14:paraId="206FFF96">
            <w:pPr>
              <w:jc w:val="center"/>
              <w:rPr>
                <w:rFonts w:eastAsiaTheme="minorEastAsia"/>
                <w:kern w:val="0"/>
                <w:szCs w:val="21"/>
                <w:highlight w:val="none"/>
              </w:rPr>
            </w:pPr>
            <w:r>
              <w:rPr>
                <w:rFonts w:eastAsiaTheme="minorEastAsia"/>
                <w:kern w:val="0"/>
                <w:szCs w:val="21"/>
                <w:highlight w:val="none"/>
              </w:rPr>
              <w:t>1.74</w:t>
            </w:r>
          </w:p>
        </w:tc>
      </w:tr>
      <w:tr w14:paraId="68B7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pct"/>
            <w:vAlign w:val="center"/>
          </w:tcPr>
          <w:p w14:paraId="0000D08C">
            <w:pPr>
              <w:jc w:val="center"/>
              <w:rPr>
                <w:rFonts w:eastAsiaTheme="minorEastAsia"/>
                <w:szCs w:val="21"/>
                <w:highlight w:val="none"/>
              </w:rPr>
            </w:pPr>
            <w:r>
              <w:rPr>
                <w:rFonts w:hint="eastAsia" w:eastAsiaTheme="minorEastAsia"/>
                <w:szCs w:val="21"/>
                <w:highlight w:val="none"/>
              </w:rPr>
              <w:t>2</w:t>
            </w:r>
          </w:p>
        </w:tc>
        <w:tc>
          <w:tcPr>
            <w:tcW w:w="653" w:type="pct"/>
            <w:vAlign w:val="center"/>
          </w:tcPr>
          <w:p w14:paraId="2022C4B8">
            <w:pPr>
              <w:jc w:val="center"/>
              <w:rPr>
                <w:rFonts w:eastAsiaTheme="minorEastAsia"/>
                <w:kern w:val="0"/>
                <w:szCs w:val="21"/>
                <w:highlight w:val="none"/>
              </w:rPr>
            </w:pPr>
            <w:r>
              <w:rPr>
                <w:rFonts w:eastAsiaTheme="minorEastAsia"/>
                <w:kern w:val="0"/>
                <w:szCs w:val="21"/>
                <w:highlight w:val="none"/>
              </w:rPr>
              <w:t>0.6</w:t>
            </w:r>
            <w:r>
              <w:rPr>
                <w:rFonts w:hint="eastAsia" w:eastAsiaTheme="minorEastAsia"/>
                <w:kern w:val="0"/>
                <w:szCs w:val="21"/>
                <w:highlight w:val="none"/>
              </w:rPr>
              <w:t>2</w:t>
            </w:r>
          </w:p>
        </w:tc>
        <w:tc>
          <w:tcPr>
            <w:tcW w:w="653" w:type="pct"/>
            <w:vAlign w:val="center"/>
          </w:tcPr>
          <w:p w14:paraId="6ADE8DA4">
            <w:pPr>
              <w:jc w:val="center"/>
              <w:rPr>
                <w:rFonts w:eastAsiaTheme="minorEastAsia"/>
                <w:kern w:val="0"/>
                <w:szCs w:val="21"/>
                <w:highlight w:val="none"/>
              </w:rPr>
            </w:pPr>
            <w:r>
              <w:rPr>
                <w:rFonts w:eastAsiaTheme="minorEastAsia"/>
                <w:kern w:val="0"/>
                <w:szCs w:val="21"/>
                <w:highlight w:val="none"/>
              </w:rPr>
              <w:t>1.</w:t>
            </w:r>
            <w:r>
              <w:rPr>
                <w:rFonts w:hint="eastAsia" w:eastAsiaTheme="minorEastAsia"/>
                <w:kern w:val="0"/>
                <w:szCs w:val="21"/>
                <w:highlight w:val="none"/>
              </w:rPr>
              <w:t>35</w:t>
            </w:r>
          </w:p>
        </w:tc>
        <w:tc>
          <w:tcPr>
            <w:tcW w:w="760" w:type="pct"/>
            <w:vAlign w:val="center"/>
          </w:tcPr>
          <w:p w14:paraId="3DD8E241">
            <w:pPr>
              <w:jc w:val="center"/>
              <w:rPr>
                <w:rFonts w:eastAsiaTheme="minorEastAsia"/>
                <w:kern w:val="0"/>
                <w:szCs w:val="21"/>
                <w:highlight w:val="none"/>
              </w:rPr>
            </w:pPr>
            <w:r>
              <w:rPr>
                <w:rFonts w:eastAsiaTheme="minorEastAsia"/>
                <w:kern w:val="0"/>
                <w:szCs w:val="21"/>
                <w:highlight w:val="none"/>
              </w:rPr>
              <w:t>-0.21</w:t>
            </w:r>
          </w:p>
        </w:tc>
        <w:tc>
          <w:tcPr>
            <w:tcW w:w="653" w:type="pct"/>
            <w:vAlign w:val="center"/>
          </w:tcPr>
          <w:p w14:paraId="16465DFA">
            <w:pPr>
              <w:jc w:val="center"/>
              <w:rPr>
                <w:rFonts w:eastAsiaTheme="minorEastAsia"/>
                <w:kern w:val="0"/>
                <w:szCs w:val="21"/>
                <w:highlight w:val="none"/>
              </w:rPr>
            </w:pPr>
            <w:r>
              <w:rPr>
                <w:rFonts w:eastAsiaTheme="minorEastAsia"/>
                <w:kern w:val="0"/>
                <w:szCs w:val="21"/>
                <w:highlight w:val="none"/>
              </w:rPr>
              <w:t>0.74</w:t>
            </w:r>
          </w:p>
        </w:tc>
        <w:tc>
          <w:tcPr>
            <w:tcW w:w="760" w:type="pct"/>
            <w:vAlign w:val="center"/>
          </w:tcPr>
          <w:p w14:paraId="0BC8A2F1">
            <w:pPr>
              <w:jc w:val="center"/>
              <w:rPr>
                <w:rFonts w:eastAsiaTheme="minorEastAsia"/>
                <w:kern w:val="0"/>
                <w:szCs w:val="21"/>
                <w:highlight w:val="none"/>
              </w:rPr>
            </w:pPr>
            <w:r>
              <w:rPr>
                <w:rFonts w:eastAsiaTheme="minorEastAsia"/>
                <w:kern w:val="0"/>
                <w:szCs w:val="21"/>
                <w:highlight w:val="none"/>
              </w:rPr>
              <w:t>-0.96</w:t>
            </w:r>
          </w:p>
        </w:tc>
        <w:tc>
          <w:tcPr>
            <w:tcW w:w="653" w:type="pct"/>
            <w:vAlign w:val="center"/>
          </w:tcPr>
          <w:p w14:paraId="385C7432">
            <w:pPr>
              <w:jc w:val="center"/>
              <w:rPr>
                <w:rFonts w:eastAsiaTheme="minorEastAsia"/>
                <w:kern w:val="0"/>
                <w:szCs w:val="21"/>
                <w:highlight w:val="none"/>
              </w:rPr>
            </w:pPr>
            <w:r>
              <w:rPr>
                <w:rFonts w:eastAsiaTheme="minorEastAsia"/>
                <w:kern w:val="0"/>
                <w:szCs w:val="21"/>
                <w:highlight w:val="none"/>
              </w:rPr>
              <w:t>0.94</w:t>
            </w:r>
          </w:p>
        </w:tc>
      </w:tr>
      <w:tr w14:paraId="35555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pct"/>
            <w:vAlign w:val="center"/>
          </w:tcPr>
          <w:p w14:paraId="45A88872">
            <w:pPr>
              <w:jc w:val="center"/>
              <w:rPr>
                <w:rFonts w:eastAsiaTheme="minorEastAsia"/>
                <w:szCs w:val="21"/>
                <w:highlight w:val="none"/>
              </w:rPr>
            </w:pPr>
            <w:r>
              <w:rPr>
                <w:rFonts w:hint="eastAsia" w:eastAsiaTheme="minorEastAsia"/>
                <w:szCs w:val="21"/>
                <w:highlight w:val="none"/>
              </w:rPr>
              <w:t>3</w:t>
            </w:r>
          </w:p>
        </w:tc>
        <w:tc>
          <w:tcPr>
            <w:tcW w:w="653" w:type="pct"/>
            <w:vAlign w:val="center"/>
          </w:tcPr>
          <w:p w14:paraId="56C92A1C">
            <w:pPr>
              <w:jc w:val="center"/>
              <w:rPr>
                <w:rFonts w:eastAsiaTheme="minorEastAsia"/>
                <w:kern w:val="0"/>
                <w:szCs w:val="21"/>
                <w:highlight w:val="none"/>
              </w:rPr>
            </w:pPr>
            <w:r>
              <w:rPr>
                <w:rFonts w:eastAsiaTheme="minorEastAsia"/>
                <w:kern w:val="0"/>
                <w:szCs w:val="21"/>
                <w:highlight w:val="none"/>
              </w:rPr>
              <w:t>0.6</w:t>
            </w:r>
            <w:r>
              <w:rPr>
                <w:rFonts w:hint="eastAsia" w:eastAsiaTheme="minorEastAsia"/>
                <w:kern w:val="0"/>
                <w:szCs w:val="21"/>
                <w:highlight w:val="none"/>
              </w:rPr>
              <w:t>0</w:t>
            </w:r>
          </w:p>
        </w:tc>
        <w:tc>
          <w:tcPr>
            <w:tcW w:w="653" w:type="pct"/>
            <w:vAlign w:val="center"/>
          </w:tcPr>
          <w:p w14:paraId="0D600A18">
            <w:pPr>
              <w:jc w:val="center"/>
              <w:rPr>
                <w:rFonts w:eastAsiaTheme="minorEastAsia"/>
                <w:kern w:val="0"/>
                <w:szCs w:val="21"/>
                <w:highlight w:val="none"/>
              </w:rPr>
            </w:pPr>
            <w:r>
              <w:rPr>
                <w:rFonts w:eastAsiaTheme="minorEastAsia"/>
                <w:kern w:val="0"/>
                <w:szCs w:val="21"/>
                <w:highlight w:val="none"/>
              </w:rPr>
              <w:t>1.</w:t>
            </w:r>
            <w:r>
              <w:rPr>
                <w:rFonts w:hint="eastAsia" w:eastAsiaTheme="minorEastAsia"/>
                <w:kern w:val="0"/>
                <w:szCs w:val="21"/>
                <w:highlight w:val="none"/>
              </w:rPr>
              <w:t>15</w:t>
            </w:r>
          </w:p>
        </w:tc>
        <w:tc>
          <w:tcPr>
            <w:tcW w:w="760" w:type="pct"/>
            <w:vAlign w:val="center"/>
          </w:tcPr>
          <w:p w14:paraId="32D2DDE0">
            <w:pPr>
              <w:jc w:val="center"/>
              <w:rPr>
                <w:rFonts w:eastAsiaTheme="minorEastAsia"/>
                <w:kern w:val="0"/>
                <w:szCs w:val="21"/>
                <w:highlight w:val="none"/>
              </w:rPr>
            </w:pPr>
            <w:r>
              <w:rPr>
                <w:rFonts w:eastAsiaTheme="minorEastAsia"/>
                <w:kern w:val="0"/>
                <w:szCs w:val="21"/>
                <w:highlight w:val="none"/>
              </w:rPr>
              <w:t>-1.56</w:t>
            </w:r>
          </w:p>
        </w:tc>
        <w:tc>
          <w:tcPr>
            <w:tcW w:w="653" w:type="pct"/>
            <w:vAlign w:val="center"/>
          </w:tcPr>
          <w:p w14:paraId="52D93C04">
            <w:pPr>
              <w:jc w:val="center"/>
              <w:rPr>
                <w:rFonts w:eastAsiaTheme="minorEastAsia"/>
                <w:kern w:val="0"/>
                <w:szCs w:val="21"/>
                <w:highlight w:val="none"/>
              </w:rPr>
            </w:pPr>
            <w:r>
              <w:rPr>
                <w:rFonts w:eastAsiaTheme="minorEastAsia"/>
                <w:kern w:val="0"/>
                <w:szCs w:val="21"/>
                <w:highlight w:val="none"/>
              </w:rPr>
              <w:t>1.24</w:t>
            </w:r>
          </w:p>
        </w:tc>
        <w:tc>
          <w:tcPr>
            <w:tcW w:w="760" w:type="pct"/>
            <w:vAlign w:val="center"/>
          </w:tcPr>
          <w:p w14:paraId="75B3C650">
            <w:pPr>
              <w:jc w:val="center"/>
              <w:rPr>
                <w:rFonts w:eastAsiaTheme="minorEastAsia"/>
                <w:kern w:val="0"/>
                <w:szCs w:val="21"/>
                <w:highlight w:val="none"/>
              </w:rPr>
            </w:pPr>
            <w:r>
              <w:rPr>
                <w:rFonts w:eastAsiaTheme="minorEastAsia"/>
                <w:kern w:val="0"/>
                <w:szCs w:val="21"/>
                <w:highlight w:val="none"/>
              </w:rPr>
              <w:t>0.89</w:t>
            </w:r>
          </w:p>
        </w:tc>
        <w:tc>
          <w:tcPr>
            <w:tcW w:w="653" w:type="pct"/>
            <w:vAlign w:val="center"/>
          </w:tcPr>
          <w:p w14:paraId="2800061A">
            <w:pPr>
              <w:jc w:val="center"/>
              <w:rPr>
                <w:rFonts w:eastAsiaTheme="minorEastAsia"/>
                <w:kern w:val="0"/>
                <w:szCs w:val="21"/>
                <w:highlight w:val="none"/>
              </w:rPr>
            </w:pPr>
            <w:r>
              <w:rPr>
                <w:rFonts w:eastAsiaTheme="minorEastAsia"/>
                <w:kern w:val="0"/>
                <w:szCs w:val="21"/>
                <w:highlight w:val="none"/>
              </w:rPr>
              <w:t>0.36</w:t>
            </w:r>
          </w:p>
        </w:tc>
      </w:tr>
      <w:tr w14:paraId="7827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pct"/>
            <w:vAlign w:val="center"/>
          </w:tcPr>
          <w:p w14:paraId="7AA22BF8">
            <w:pPr>
              <w:jc w:val="center"/>
              <w:rPr>
                <w:rFonts w:eastAsiaTheme="minorEastAsia"/>
                <w:szCs w:val="21"/>
                <w:highlight w:val="none"/>
              </w:rPr>
            </w:pPr>
            <w:r>
              <w:rPr>
                <w:rFonts w:hint="eastAsia" w:eastAsiaTheme="minorEastAsia"/>
                <w:szCs w:val="21"/>
                <w:highlight w:val="none"/>
              </w:rPr>
              <w:t>4</w:t>
            </w:r>
          </w:p>
        </w:tc>
        <w:tc>
          <w:tcPr>
            <w:tcW w:w="653" w:type="pct"/>
            <w:vAlign w:val="center"/>
          </w:tcPr>
          <w:p w14:paraId="6476057C">
            <w:pPr>
              <w:jc w:val="center"/>
              <w:rPr>
                <w:rFonts w:eastAsiaTheme="minorEastAsia"/>
                <w:kern w:val="0"/>
                <w:szCs w:val="21"/>
                <w:highlight w:val="none"/>
              </w:rPr>
            </w:pPr>
            <w:r>
              <w:rPr>
                <w:rFonts w:eastAsiaTheme="minorEastAsia"/>
                <w:kern w:val="0"/>
                <w:szCs w:val="21"/>
                <w:highlight w:val="none"/>
              </w:rPr>
              <w:t>0.</w:t>
            </w:r>
            <w:r>
              <w:rPr>
                <w:rFonts w:hint="eastAsia" w:eastAsiaTheme="minorEastAsia"/>
                <w:kern w:val="0"/>
                <w:szCs w:val="21"/>
                <w:highlight w:val="none"/>
              </w:rPr>
              <w:t>03</w:t>
            </w:r>
          </w:p>
        </w:tc>
        <w:tc>
          <w:tcPr>
            <w:tcW w:w="653" w:type="pct"/>
            <w:vAlign w:val="center"/>
          </w:tcPr>
          <w:p w14:paraId="4A4C0C54">
            <w:pPr>
              <w:jc w:val="center"/>
              <w:rPr>
                <w:rFonts w:eastAsiaTheme="minorEastAsia"/>
                <w:kern w:val="0"/>
                <w:szCs w:val="21"/>
                <w:highlight w:val="none"/>
              </w:rPr>
            </w:pPr>
            <w:r>
              <w:rPr>
                <w:rFonts w:eastAsiaTheme="minorEastAsia"/>
                <w:kern w:val="0"/>
                <w:szCs w:val="21"/>
                <w:highlight w:val="none"/>
              </w:rPr>
              <w:t>0.</w:t>
            </w:r>
            <w:r>
              <w:rPr>
                <w:rFonts w:hint="eastAsia" w:eastAsiaTheme="minorEastAsia"/>
                <w:kern w:val="0"/>
                <w:szCs w:val="21"/>
                <w:highlight w:val="none"/>
              </w:rPr>
              <w:t>38</w:t>
            </w:r>
          </w:p>
        </w:tc>
        <w:tc>
          <w:tcPr>
            <w:tcW w:w="760" w:type="pct"/>
            <w:vAlign w:val="center"/>
          </w:tcPr>
          <w:p w14:paraId="20969C13">
            <w:pPr>
              <w:jc w:val="center"/>
              <w:rPr>
                <w:rFonts w:eastAsiaTheme="minorEastAsia"/>
                <w:kern w:val="0"/>
                <w:szCs w:val="21"/>
                <w:highlight w:val="none"/>
              </w:rPr>
            </w:pPr>
            <w:r>
              <w:rPr>
                <w:rFonts w:eastAsiaTheme="minorEastAsia"/>
                <w:kern w:val="0"/>
                <w:szCs w:val="21"/>
                <w:highlight w:val="none"/>
              </w:rPr>
              <w:t>-0.21</w:t>
            </w:r>
          </w:p>
        </w:tc>
        <w:tc>
          <w:tcPr>
            <w:tcW w:w="653" w:type="pct"/>
            <w:vAlign w:val="center"/>
          </w:tcPr>
          <w:p w14:paraId="4497B67A">
            <w:pPr>
              <w:jc w:val="center"/>
              <w:rPr>
                <w:rFonts w:eastAsiaTheme="minorEastAsia"/>
                <w:kern w:val="0"/>
                <w:szCs w:val="21"/>
                <w:highlight w:val="none"/>
              </w:rPr>
            </w:pPr>
            <w:r>
              <w:rPr>
                <w:rFonts w:eastAsiaTheme="minorEastAsia"/>
                <w:kern w:val="0"/>
                <w:szCs w:val="21"/>
                <w:highlight w:val="none"/>
              </w:rPr>
              <w:t>0</w:t>
            </w:r>
          </w:p>
        </w:tc>
        <w:tc>
          <w:tcPr>
            <w:tcW w:w="760" w:type="pct"/>
            <w:vAlign w:val="center"/>
          </w:tcPr>
          <w:p w14:paraId="3F8CD19E">
            <w:pPr>
              <w:jc w:val="center"/>
              <w:rPr>
                <w:rFonts w:eastAsiaTheme="minorEastAsia"/>
                <w:kern w:val="0"/>
                <w:szCs w:val="21"/>
                <w:highlight w:val="none"/>
              </w:rPr>
            </w:pPr>
            <w:r>
              <w:rPr>
                <w:rFonts w:eastAsiaTheme="minorEastAsia"/>
                <w:kern w:val="0"/>
                <w:szCs w:val="21"/>
                <w:highlight w:val="none"/>
              </w:rPr>
              <w:t>-0.85</w:t>
            </w:r>
          </w:p>
        </w:tc>
        <w:tc>
          <w:tcPr>
            <w:tcW w:w="653" w:type="pct"/>
            <w:vAlign w:val="center"/>
          </w:tcPr>
          <w:p w14:paraId="34902FEE">
            <w:pPr>
              <w:jc w:val="center"/>
              <w:rPr>
                <w:rFonts w:eastAsiaTheme="minorEastAsia"/>
                <w:kern w:val="0"/>
                <w:szCs w:val="21"/>
                <w:highlight w:val="none"/>
              </w:rPr>
            </w:pPr>
            <w:r>
              <w:rPr>
                <w:rFonts w:eastAsiaTheme="minorEastAsia"/>
                <w:kern w:val="0"/>
                <w:szCs w:val="21"/>
                <w:highlight w:val="none"/>
              </w:rPr>
              <w:t>1.31</w:t>
            </w:r>
          </w:p>
        </w:tc>
      </w:tr>
      <w:tr w14:paraId="3B4A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pct"/>
            <w:vAlign w:val="center"/>
          </w:tcPr>
          <w:p w14:paraId="3DB90549">
            <w:pPr>
              <w:jc w:val="center"/>
              <w:rPr>
                <w:rFonts w:eastAsiaTheme="minorEastAsia"/>
                <w:szCs w:val="21"/>
                <w:highlight w:val="none"/>
              </w:rPr>
            </w:pPr>
            <w:r>
              <w:rPr>
                <w:rFonts w:hint="eastAsia" w:eastAsiaTheme="minorEastAsia"/>
                <w:szCs w:val="21"/>
                <w:highlight w:val="none"/>
              </w:rPr>
              <w:t>5</w:t>
            </w:r>
          </w:p>
        </w:tc>
        <w:tc>
          <w:tcPr>
            <w:tcW w:w="653" w:type="pct"/>
            <w:vAlign w:val="center"/>
          </w:tcPr>
          <w:p w14:paraId="17495E29">
            <w:pPr>
              <w:jc w:val="center"/>
              <w:rPr>
                <w:rFonts w:eastAsiaTheme="minorEastAsia"/>
                <w:kern w:val="0"/>
                <w:szCs w:val="21"/>
                <w:highlight w:val="none"/>
              </w:rPr>
            </w:pPr>
            <w:r>
              <w:rPr>
                <w:rFonts w:hint="eastAsia" w:eastAsiaTheme="minorEastAsia"/>
                <w:kern w:val="0"/>
                <w:szCs w:val="21"/>
                <w:highlight w:val="none"/>
              </w:rPr>
              <w:t>—</w:t>
            </w:r>
          </w:p>
        </w:tc>
        <w:tc>
          <w:tcPr>
            <w:tcW w:w="653" w:type="pct"/>
            <w:vAlign w:val="center"/>
          </w:tcPr>
          <w:p w14:paraId="286A9FC0">
            <w:pPr>
              <w:jc w:val="center"/>
              <w:rPr>
                <w:rFonts w:eastAsiaTheme="minorEastAsia"/>
                <w:kern w:val="0"/>
                <w:szCs w:val="21"/>
                <w:highlight w:val="none"/>
              </w:rPr>
            </w:pPr>
            <w:r>
              <w:rPr>
                <w:rFonts w:hint="eastAsia" w:eastAsiaTheme="minorEastAsia"/>
                <w:kern w:val="0"/>
                <w:szCs w:val="21"/>
                <w:highlight w:val="none"/>
              </w:rPr>
              <w:t>—</w:t>
            </w:r>
          </w:p>
        </w:tc>
        <w:tc>
          <w:tcPr>
            <w:tcW w:w="760" w:type="pct"/>
            <w:vAlign w:val="center"/>
          </w:tcPr>
          <w:p w14:paraId="26A67C31">
            <w:pPr>
              <w:jc w:val="center"/>
              <w:rPr>
                <w:rFonts w:eastAsiaTheme="minorEastAsia"/>
                <w:kern w:val="0"/>
                <w:szCs w:val="21"/>
                <w:highlight w:val="none"/>
              </w:rPr>
            </w:pPr>
            <w:r>
              <w:rPr>
                <w:rFonts w:eastAsiaTheme="minorEastAsia"/>
                <w:kern w:val="0"/>
                <w:szCs w:val="21"/>
                <w:highlight w:val="none"/>
              </w:rPr>
              <w:t>-0.21</w:t>
            </w:r>
          </w:p>
        </w:tc>
        <w:tc>
          <w:tcPr>
            <w:tcW w:w="653" w:type="pct"/>
            <w:vAlign w:val="center"/>
          </w:tcPr>
          <w:p w14:paraId="0FD23396">
            <w:pPr>
              <w:jc w:val="center"/>
              <w:rPr>
                <w:rFonts w:eastAsiaTheme="minorEastAsia"/>
                <w:kern w:val="0"/>
                <w:szCs w:val="21"/>
                <w:highlight w:val="none"/>
              </w:rPr>
            </w:pPr>
            <w:r>
              <w:rPr>
                <w:rFonts w:eastAsiaTheme="minorEastAsia"/>
                <w:kern w:val="0"/>
                <w:szCs w:val="21"/>
                <w:highlight w:val="none"/>
              </w:rPr>
              <w:t>0.74</w:t>
            </w:r>
          </w:p>
        </w:tc>
        <w:tc>
          <w:tcPr>
            <w:tcW w:w="760" w:type="pct"/>
            <w:vAlign w:val="center"/>
          </w:tcPr>
          <w:p w14:paraId="3E5455A4">
            <w:pPr>
              <w:jc w:val="center"/>
              <w:rPr>
                <w:rFonts w:eastAsiaTheme="minorEastAsia"/>
                <w:kern w:val="0"/>
                <w:szCs w:val="21"/>
                <w:highlight w:val="none"/>
              </w:rPr>
            </w:pPr>
            <w:r>
              <w:rPr>
                <w:rFonts w:eastAsiaTheme="minorEastAsia"/>
                <w:kern w:val="0"/>
                <w:szCs w:val="21"/>
                <w:highlight w:val="none"/>
              </w:rPr>
              <w:t>-1.06</w:t>
            </w:r>
          </w:p>
        </w:tc>
        <w:tc>
          <w:tcPr>
            <w:tcW w:w="653" w:type="pct"/>
            <w:vAlign w:val="center"/>
          </w:tcPr>
          <w:p w14:paraId="4AE96148">
            <w:pPr>
              <w:jc w:val="center"/>
              <w:rPr>
                <w:rFonts w:eastAsiaTheme="minorEastAsia"/>
                <w:kern w:val="0"/>
                <w:szCs w:val="21"/>
                <w:highlight w:val="none"/>
              </w:rPr>
            </w:pPr>
            <w:r>
              <w:rPr>
                <w:rFonts w:eastAsiaTheme="minorEastAsia"/>
                <w:kern w:val="0"/>
                <w:szCs w:val="21"/>
                <w:highlight w:val="none"/>
              </w:rPr>
              <w:t>0.62</w:t>
            </w:r>
          </w:p>
        </w:tc>
      </w:tr>
      <w:tr w14:paraId="3C60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pct"/>
            <w:vAlign w:val="center"/>
          </w:tcPr>
          <w:p w14:paraId="51D4D473">
            <w:pPr>
              <w:jc w:val="center"/>
              <w:rPr>
                <w:rFonts w:eastAsiaTheme="minorEastAsia"/>
                <w:szCs w:val="21"/>
                <w:highlight w:val="none"/>
              </w:rPr>
            </w:pPr>
            <w:r>
              <w:rPr>
                <w:rFonts w:hint="eastAsia" w:eastAsiaTheme="minorEastAsia"/>
                <w:szCs w:val="21"/>
                <w:highlight w:val="none"/>
              </w:rPr>
              <w:t>6</w:t>
            </w:r>
          </w:p>
        </w:tc>
        <w:tc>
          <w:tcPr>
            <w:tcW w:w="653" w:type="pct"/>
            <w:vAlign w:val="center"/>
          </w:tcPr>
          <w:p w14:paraId="6CE727A0">
            <w:pPr>
              <w:jc w:val="center"/>
              <w:rPr>
                <w:rFonts w:eastAsiaTheme="minorEastAsia"/>
                <w:kern w:val="0"/>
                <w:szCs w:val="21"/>
                <w:highlight w:val="none"/>
              </w:rPr>
            </w:pPr>
            <w:r>
              <w:rPr>
                <w:rFonts w:hint="eastAsia" w:eastAsiaTheme="minorEastAsia"/>
                <w:kern w:val="0"/>
                <w:szCs w:val="21"/>
                <w:highlight w:val="none"/>
              </w:rPr>
              <w:t>-2.19</w:t>
            </w:r>
          </w:p>
        </w:tc>
        <w:tc>
          <w:tcPr>
            <w:tcW w:w="653" w:type="pct"/>
            <w:vAlign w:val="center"/>
          </w:tcPr>
          <w:p w14:paraId="7AE81BE2">
            <w:pPr>
              <w:jc w:val="center"/>
              <w:rPr>
                <w:rFonts w:eastAsiaTheme="minorEastAsia"/>
                <w:kern w:val="0"/>
                <w:szCs w:val="21"/>
                <w:highlight w:val="none"/>
              </w:rPr>
            </w:pPr>
            <w:r>
              <w:rPr>
                <w:rFonts w:eastAsiaTheme="minorEastAsia"/>
                <w:kern w:val="0"/>
                <w:szCs w:val="21"/>
                <w:highlight w:val="none"/>
              </w:rPr>
              <w:t>0.00</w:t>
            </w:r>
          </w:p>
        </w:tc>
        <w:tc>
          <w:tcPr>
            <w:tcW w:w="760" w:type="pct"/>
            <w:vAlign w:val="center"/>
          </w:tcPr>
          <w:p w14:paraId="3582A98F">
            <w:pPr>
              <w:jc w:val="center"/>
              <w:rPr>
                <w:rFonts w:eastAsiaTheme="minorEastAsia"/>
                <w:kern w:val="0"/>
                <w:szCs w:val="21"/>
                <w:highlight w:val="none"/>
              </w:rPr>
            </w:pPr>
            <w:r>
              <w:rPr>
                <w:rFonts w:hint="eastAsia" w:eastAsiaTheme="minorEastAsia"/>
                <w:kern w:val="0"/>
                <w:szCs w:val="21"/>
                <w:highlight w:val="none"/>
              </w:rPr>
              <w:t>—</w:t>
            </w:r>
          </w:p>
        </w:tc>
        <w:tc>
          <w:tcPr>
            <w:tcW w:w="653" w:type="pct"/>
            <w:vAlign w:val="center"/>
          </w:tcPr>
          <w:p w14:paraId="70AFA18C">
            <w:pPr>
              <w:jc w:val="center"/>
              <w:rPr>
                <w:rFonts w:eastAsiaTheme="minorEastAsia"/>
                <w:kern w:val="0"/>
                <w:szCs w:val="21"/>
                <w:highlight w:val="none"/>
              </w:rPr>
            </w:pPr>
            <w:r>
              <w:rPr>
                <w:rFonts w:hint="eastAsia" w:eastAsiaTheme="minorEastAsia"/>
                <w:kern w:val="0"/>
                <w:szCs w:val="21"/>
                <w:highlight w:val="none"/>
              </w:rPr>
              <w:t>—</w:t>
            </w:r>
          </w:p>
        </w:tc>
        <w:tc>
          <w:tcPr>
            <w:tcW w:w="760" w:type="pct"/>
            <w:vAlign w:val="center"/>
          </w:tcPr>
          <w:p w14:paraId="1CD56675">
            <w:pPr>
              <w:jc w:val="center"/>
              <w:rPr>
                <w:rFonts w:eastAsiaTheme="minorEastAsia"/>
                <w:kern w:val="0"/>
                <w:szCs w:val="21"/>
                <w:highlight w:val="none"/>
              </w:rPr>
            </w:pPr>
            <w:r>
              <w:rPr>
                <w:rFonts w:eastAsiaTheme="minorEastAsia"/>
                <w:kern w:val="0"/>
                <w:szCs w:val="21"/>
                <w:highlight w:val="none"/>
              </w:rPr>
              <w:t>1.53</w:t>
            </w:r>
          </w:p>
        </w:tc>
        <w:tc>
          <w:tcPr>
            <w:tcW w:w="653" w:type="pct"/>
            <w:vAlign w:val="center"/>
          </w:tcPr>
          <w:p w14:paraId="41C84DE0">
            <w:pPr>
              <w:jc w:val="center"/>
              <w:rPr>
                <w:rFonts w:eastAsiaTheme="minorEastAsia"/>
                <w:kern w:val="0"/>
                <w:szCs w:val="21"/>
                <w:highlight w:val="none"/>
              </w:rPr>
            </w:pPr>
            <w:r>
              <w:rPr>
                <w:rFonts w:eastAsiaTheme="minorEastAsia"/>
                <w:kern w:val="0"/>
                <w:szCs w:val="21"/>
                <w:highlight w:val="none"/>
              </w:rPr>
              <w:t>0.87</w:t>
            </w:r>
          </w:p>
        </w:tc>
      </w:tr>
      <w:tr w14:paraId="2146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pct"/>
            <w:vAlign w:val="center"/>
          </w:tcPr>
          <w:p w14:paraId="5E5A1BF2">
            <w:pPr>
              <w:jc w:val="center"/>
              <w:rPr>
                <w:rFonts w:eastAsiaTheme="minorEastAsia"/>
                <w:szCs w:val="21"/>
                <w:highlight w:val="none"/>
              </w:rPr>
            </w:pPr>
            <w:r>
              <w:rPr>
                <w:rFonts w:hint="eastAsia" w:eastAsiaTheme="minorEastAsia"/>
                <w:szCs w:val="21"/>
                <w:highlight w:val="none"/>
              </w:rPr>
              <w:t>7</w:t>
            </w:r>
          </w:p>
        </w:tc>
        <w:tc>
          <w:tcPr>
            <w:tcW w:w="653" w:type="pct"/>
            <w:vAlign w:val="center"/>
          </w:tcPr>
          <w:p w14:paraId="41EEEA6E">
            <w:pPr>
              <w:jc w:val="center"/>
              <w:rPr>
                <w:rFonts w:eastAsiaTheme="minorEastAsia"/>
                <w:kern w:val="0"/>
                <w:szCs w:val="21"/>
                <w:highlight w:val="none"/>
              </w:rPr>
            </w:pPr>
            <w:r>
              <w:rPr>
                <w:rFonts w:eastAsiaTheme="minorEastAsia"/>
                <w:kern w:val="0"/>
                <w:szCs w:val="21"/>
                <w:highlight w:val="none"/>
              </w:rPr>
              <w:t>0.</w:t>
            </w:r>
            <w:r>
              <w:rPr>
                <w:rFonts w:hint="eastAsia" w:eastAsiaTheme="minorEastAsia"/>
                <w:kern w:val="0"/>
                <w:szCs w:val="21"/>
                <w:highlight w:val="none"/>
              </w:rPr>
              <w:t>45</w:t>
            </w:r>
          </w:p>
        </w:tc>
        <w:tc>
          <w:tcPr>
            <w:tcW w:w="653" w:type="pct"/>
            <w:vAlign w:val="center"/>
          </w:tcPr>
          <w:p w14:paraId="05A45DCC">
            <w:pPr>
              <w:jc w:val="center"/>
              <w:rPr>
                <w:rFonts w:eastAsiaTheme="minorEastAsia"/>
                <w:kern w:val="0"/>
                <w:szCs w:val="21"/>
                <w:highlight w:val="none"/>
              </w:rPr>
            </w:pPr>
            <w:r>
              <w:rPr>
                <w:rFonts w:eastAsiaTheme="minorEastAsia"/>
                <w:kern w:val="0"/>
                <w:szCs w:val="21"/>
                <w:highlight w:val="none"/>
              </w:rPr>
              <w:t>0.</w:t>
            </w:r>
            <w:r>
              <w:rPr>
                <w:rFonts w:hint="eastAsia" w:eastAsiaTheme="minorEastAsia"/>
                <w:kern w:val="0"/>
                <w:szCs w:val="21"/>
                <w:highlight w:val="none"/>
              </w:rPr>
              <w:t>58</w:t>
            </w:r>
          </w:p>
        </w:tc>
        <w:tc>
          <w:tcPr>
            <w:tcW w:w="760" w:type="pct"/>
            <w:vAlign w:val="center"/>
          </w:tcPr>
          <w:p w14:paraId="0DAF1ACD">
            <w:pPr>
              <w:jc w:val="center"/>
              <w:rPr>
                <w:rFonts w:eastAsiaTheme="minorEastAsia"/>
                <w:kern w:val="0"/>
                <w:szCs w:val="21"/>
                <w:highlight w:val="none"/>
              </w:rPr>
            </w:pPr>
            <w:r>
              <w:rPr>
                <w:rFonts w:eastAsiaTheme="minorEastAsia"/>
                <w:kern w:val="0"/>
                <w:szCs w:val="21"/>
                <w:highlight w:val="none"/>
              </w:rPr>
              <w:t>0.87</w:t>
            </w:r>
          </w:p>
        </w:tc>
        <w:tc>
          <w:tcPr>
            <w:tcW w:w="653" w:type="pct"/>
            <w:vAlign w:val="center"/>
          </w:tcPr>
          <w:p w14:paraId="11A3ED16">
            <w:pPr>
              <w:jc w:val="center"/>
              <w:rPr>
                <w:rFonts w:eastAsiaTheme="minorEastAsia"/>
                <w:kern w:val="0"/>
                <w:szCs w:val="21"/>
                <w:highlight w:val="none"/>
              </w:rPr>
            </w:pPr>
            <w:r>
              <w:rPr>
                <w:rFonts w:eastAsiaTheme="minorEastAsia"/>
                <w:kern w:val="0"/>
                <w:szCs w:val="21"/>
                <w:highlight w:val="none"/>
              </w:rPr>
              <w:t>0.62</w:t>
            </w:r>
          </w:p>
        </w:tc>
        <w:tc>
          <w:tcPr>
            <w:tcW w:w="760" w:type="pct"/>
            <w:vAlign w:val="center"/>
          </w:tcPr>
          <w:p w14:paraId="58CB2AD3">
            <w:pPr>
              <w:jc w:val="center"/>
              <w:rPr>
                <w:rFonts w:eastAsiaTheme="minorEastAsia"/>
                <w:kern w:val="0"/>
                <w:szCs w:val="21"/>
                <w:highlight w:val="none"/>
              </w:rPr>
            </w:pPr>
            <w:r>
              <w:rPr>
                <w:rFonts w:eastAsiaTheme="minorEastAsia"/>
                <w:kern w:val="0"/>
                <w:szCs w:val="21"/>
                <w:highlight w:val="none"/>
              </w:rPr>
              <w:t>0.19</w:t>
            </w:r>
          </w:p>
        </w:tc>
        <w:tc>
          <w:tcPr>
            <w:tcW w:w="653" w:type="pct"/>
            <w:vAlign w:val="center"/>
          </w:tcPr>
          <w:p w14:paraId="0536C596">
            <w:pPr>
              <w:jc w:val="center"/>
              <w:rPr>
                <w:rFonts w:eastAsiaTheme="minorEastAsia"/>
                <w:kern w:val="0"/>
                <w:szCs w:val="21"/>
                <w:highlight w:val="none"/>
              </w:rPr>
            </w:pPr>
            <w:r>
              <w:rPr>
                <w:rFonts w:eastAsiaTheme="minorEastAsia"/>
                <w:kern w:val="0"/>
                <w:szCs w:val="21"/>
                <w:highlight w:val="none"/>
              </w:rPr>
              <w:t>0.29</w:t>
            </w:r>
          </w:p>
        </w:tc>
      </w:tr>
      <w:bookmarkEnd w:id="37"/>
    </w:tbl>
    <w:p w14:paraId="1D4F0CAE">
      <w:pPr>
        <w:widowControl/>
        <w:snapToGrid w:val="0"/>
        <w:spacing w:line="300" w:lineRule="auto"/>
        <w:rPr>
          <w:sz w:val="24"/>
          <w:highlight w:val="none"/>
        </w:rPr>
      </w:pPr>
    </w:p>
    <w:p w14:paraId="00D02F87">
      <w:pPr>
        <w:widowControl/>
        <w:snapToGrid w:val="0"/>
        <w:spacing w:line="300" w:lineRule="auto"/>
        <w:ind w:firstLine="442"/>
        <w:rPr>
          <w:sz w:val="24"/>
          <w:highlight w:val="none"/>
        </w:rPr>
      </w:pPr>
      <w:bookmarkStart w:id="38" w:name="OLE_LINK39"/>
      <w:r>
        <w:rPr>
          <w:sz w:val="24"/>
          <w:highlight w:val="none"/>
        </w:rPr>
        <w:t>当实验室数量为6时，ISO 19983规定的临界</w:t>
      </w:r>
      <w:r>
        <w:rPr>
          <w:i/>
          <w:sz w:val="24"/>
          <w:highlight w:val="none"/>
        </w:rPr>
        <w:t>h</w:t>
      </w:r>
      <w:r>
        <w:rPr>
          <w:sz w:val="24"/>
          <w:highlight w:val="none"/>
        </w:rPr>
        <w:t>值为1.66，临界</w:t>
      </w:r>
      <w:r>
        <w:rPr>
          <w:i/>
          <w:sz w:val="24"/>
          <w:highlight w:val="none"/>
        </w:rPr>
        <w:t>k</w:t>
      </w:r>
      <w:r>
        <w:rPr>
          <w:sz w:val="24"/>
          <w:highlight w:val="none"/>
        </w:rPr>
        <w:t>值为1.85，</w:t>
      </w:r>
      <w:bookmarkEnd w:id="38"/>
      <w:r>
        <w:rPr>
          <w:sz w:val="24"/>
          <w:highlight w:val="none"/>
        </w:rPr>
        <w:t>当实验室数量为7时，ISO 19983规定的临界</w:t>
      </w:r>
      <w:r>
        <w:rPr>
          <w:i/>
          <w:sz w:val="24"/>
          <w:highlight w:val="none"/>
        </w:rPr>
        <w:t>h</w:t>
      </w:r>
      <w:r>
        <w:rPr>
          <w:sz w:val="24"/>
          <w:highlight w:val="none"/>
        </w:rPr>
        <w:t>值为1.71，临界</w:t>
      </w:r>
      <w:r>
        <w:rPr>
          <w:i/>
          <w:sz w:val="24"/>
          <w:highlight w:val="none"/>
        </w:rPr>
        <w:t>k</w:t>
      </w:r>
      <w:r>
        <w:rPr>
          <w:sz w:val="24"/>
          <w:highlight w:val="none"/>
        </w:rPr>
        <w:t>值为1.87，将表4中每一个</w:t>
      </w:r>
      <w:r>
        <w:rPr>
          <w:i/>
          <w:sz w:val="24"/>
          <w:highlight w:val="none"/>
        </w:rPr>
        <w:t>h</w:t>
      </w:r>
      <w:r>
        <w:rPr>
          <w:sz w:val="24"/>
          <w:highlight w:val="none"/>
        </w:rPr>
        <w:t>值和</w:t>
      </w:r>
      <w:r>
        <w:rPr>
          <w:i/>
          <w:sz w:val="24"/>
          <w:highlight w:val="none"/>
        </w:rPr>
        <w:t>k</w:t>
      </w:r>
      <w:r>
        <w:rPr>
          <w:sz w:val="24"/>
          <w:highlight w:val="none"/>
        </w:rPr>
        <w:t>值与相应的临界值比较，发现样品A的所有数据中，实验室</w:t>
      </w:r>
      <w:r>
        <w:rPr>
          <w:rFonts w:hint="eastAsia"/>
          <w:sz w:val="24"/>
          <w:highlight w:val="none"/>
        </w:rPr>
        <w:t>6的</w:t>
      </w:r>
      <w:r>
        <w:rPr>
          <w:rFonts w:hint="eastAsia"/>
          <w:i/>
          <w:sz w:val="24"/>
          <w:highlight w:val="none"/>
        </w:rPr>
        <w:t>h</w:t>
      </w:r>
      <w:r>
        <w:rPr>
          <w:rFonts w:hint="eastAsia"/>
          <w:sz w:val="24"/>
          <w:highlight w:val="none"/>
        </w:rPr>
        <w:t>值为-2.19，超过了临界</w:t>
      </w:r>
      <w:r>
        <w:rPr>
          <w:rFonts w:hint="eastAsia"/>
          <w:i/>
          <w:sz w:val="24"/>
          <w:highlight w:val="none"/>
        </w:rPr>
        <w:t>h</w:t>
      </w:r>
      <w:r>
        <w:rPr>
          <w:rFonts w:hint="eastAsia"/>
          <w:sz w:val="24"/>
          <w:highlight w:val="none"/>
        </w:rPr>
        <w:t>值1.66。所有</w:t>
      </w:r>
      <w:r>
        <w:rPr>
          <w:rFonts w:hint="eastAsia"/>
          <w:i/>
          <w:sz w:val="24"/>
          <w:highlight w:val="none"/>
        </w:rPr>
        <w:t>k</w:t>
      </w:r>
      <w:r>
        <w:rPr>
          <w:rFonts w:hint="eastAsia"/>
          <w:sz w:val="24"/>
          <w:highlight w:val="none"/>
        </w:rPr>
        <w:t>值均不超过临界</w:t>
      </w:r>
      <w:r>
        <w:rPr>
          <w:rFonts w:hint="eastAsia"/>
          <w:i/>
          <w:sz w:val="24"/>
          <w:highlight w:val="none"/>
        </w:rPr>
        <w:t>k</w:t>
      </w:r>
      <w:r>
        <w:rPr>
          <w:rFonts w:hint="eastAsia"/>
          <w:sz w:val="24"/>
          <w:highlight w:val="none"/>
        </w:rPr>
        <w:t>值。因此，结论为样品A的结果中有一个</w:t>
      </w:r>
      <w:r>
        <w:rPr>
          <w:sz w:val="24"/>
          <w:highlight w:val="none"/>
        </w:rPr>
        <w:t>离群值，样品B和样品C结果中没有离群值</w:t>
      </w:r>
      <w:r>
        <w:rPr>
          <w:rFonts w:hint="eastAsia"/>
          <w:sz w:val="24"/>
          <w:highlight w:val="none"/>
        </w:rPr>
        <w:t>。</w:t>
      </w:r>
    </w:p>
    <w:p w14:paraId="0BF6C972">
      <w:pPr>
        <w:widowControl/>
        <w:snapToGrid w:val="0"/>
        <w:spacing w:line="300" w:lineRule="auto"/>
        <w:ind w:firstLine="442"/>
        <w:rPr>
          <w:sz w:val="24"/>
          <w:highlight w:val="none"/>
        </w:rPr>
      </w:pPr>
      <w:r>
        <w:rPr>
          <w:rFonts w:hint="eastAsia"/>
          <w:sz w:val="24"/>
          <w:highlight w:val="none"/>
        </w:rPr>
        <w:t>由于实验室6样品A的数据已确定为离群值，应替代这部分数据。表5给出了样品A排除实验室6后的5间实验室的数据。</w:t>
      </w:r>
    </w:p>
    <w:p w14:paraId="6E6F1A48">
      <w:pPr>
        <w:jc w:val="center"/>
        <w:rPr>
          <w:rFonts w:eastAsia="黑体"/>
          <w:bCs/>
          <w:highlight w:val="none"/>
        </w:rPr>
      </w:pPr>
      <w:r>
        <w:rPr>
          <w:rFonts w:hint="eastAsia" w:eastAsia="黑体"/>
          <w:bCs/>
          <w:highlight w:val="none"/>
        </w:rPr>
        <w:t>表5 样品A的5间其余实验室（非离群）的数据</w:t>
      </w:r>
    </w:p>
    <w:tbl>
      <w:tblPr>
        <w:tblStyle w:val="11"/>
        <w:tblW w:w="2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702"/>
      </w:tblGrid>
      <w:tr w14:paraId="5498E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restart"/>
            <w:vAlign w:val="center"/>
          </w:tcPr>
          <w:p w14:paraId="6ED5DC82">
            <w:pPr>
              <w:widowControl/>
              <w:jc w:val="center"/>
              <w:rPr>
                <w:color w:val="000000"/>
                <w:kern w:val="0"/>
                <w:sz w:val="22"/>
                <w:szCs w:val="22"/>
                <w:highlight w:val="none"/>
              </w:rPr>
            </w:pPr>
            <w:r>
              <w:rPr>
                <w:color w:val="000000"/>
                <w:kern w:val="0"/>
                <w:sz w:val="22"/>
                <w:szCs w:val="22"/>
                <w:highlight w:val="none"/>
              </w:rPr>
              <w:t>实验室</w:t>
            </w:r>
          </w:p>
        </w:tc>
        <w:tc>
          <w:tcPr>
            <w:tcW w:w="1702" w:type="dxa"/>
            <w:shd w:val="clear" w:color="auto" w:fill="auto"/>
            <w:noWrap/>
            <w:vAlign w:val="center"/>
          </w:tcPr>
          <w:p w14:paraId="1D79615D">
            <w:pPr>
              <w:widowControl/>
              <w:jc w:val="center"/>
              <w:rPr>
                <w:color w:val="000000"/>
                <w:kern w:val="0"/>
                <w:sz w:val="22"/>
                <w:szCs w:val="22"/>
                <w:highlight w:val="none"/>
              </w:rPr>
            </w:pPr>
            <w:r>
              <w:rPr>
                <w:rFonts w:eastAsiaTheme="minorEastAsia"/>
                <w:szCs w:val="21"/>
                <w:highlight w:val="none"/>
              </w:rPr>
              <w:t>数据平均值</w:t>
            </w:r>
          </w:p>
        </w:tc>
      </w:tr>
      <w:tr w14:paraId="64EA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continue"/>
            <w:vAlign w:val="center"/>
          </w:tcPr>
          <w:p w14:paraId="084D771A">
            <w:pPr>
              <w:widowControl/>
              <w:jc w:val="center"/>
              <w:rPr>
                <w:color w:val="000000"/>
                <w:kern w:val="0"/>
                <w:sz w:val="22"/>
                <w:szCs w:val="22"/>
                <w:highlight w:val="none"/>
              </w:rPr>
            </w:pPr>
          </w:p>
        </w:tc>
        <w:tc>
          <w:tcPr>
            <w:tcW w:w="1702" w:type="dxa"/>
            <w:shd w:val="clear" w:color="auto" w:fill="auto"/>
            <w:noWrap/>
            <w:vAlign w:val="center"/>
          </w:tcPr>
          <w:p w14:paraId="1EDED054">
            <w:pPr>
              <w:widowControl/>
              <w:jc w:val="center"/>
              <w:rPr>
                <w:color w:val="000000"/>
                <w:kern w:val="0"/>
                <w:sz w:val="22"/>
                <w:szCs w:val="22"/>
                <w:highlight w:val="none"/>
              </w:rPr>
            </w:pPr>
            <m:oMath>
              <m:bar>
                <m:barPr>
                  <m:pos m:val="top"/>
                  <m:ctrlPr>
                    <w:rPr>
                      <w:rFonts w:ascii="Cambria Math" w:hAnsi="Cambria Math" w:eastAsiaTheme="minorEastAsia"/>
                      <w:szCs w:val="21"/>
                      <w:highlight w:val="none"/>
                    </w:rPr>
                  </m:ctrlPr>
                </m:barPr>
                <m:e>
                  <m:r>
                    <m:rPr/>
                    <w:rPr>
                      <w:rFonts w:ascii="Cambria Math" w:hAnsi="Cambria Math" w:eastAsiaTheme="minorEastAsia"/>
                      <w:szCs w:val="21"/>
                      <w:highlight w:val="none"/>
                    </w:rPr>
                    <m:t>y</m:t>
                  </m:r>
                  <m:ctrlPr>
                    <w:rPr>
                      <w:rFonts w:ascii="Cambria Math" w:hAnsi="Cambria Math" w:eastAsiaTheme="minorEastAsia"/>
                      <w:szCs w:val="21"/>
                      <w:highlight w:val="none"/>
                    </w:rPr>
                  </m:ctrlPr>
                </m:e>
              </m:bar>
            </m:oMath>
            <w:r>
              <w:rPr>
                <w:rFonts w:eastAsiaTheme="minorEastAsia"/>
                <w:szCs w:val="21"/>
                <w:highlight w:val="none"/>
                <w:vertAlign w:val="subscript"/>
              </w:rPr>
              <w:t>ij·</w:t>
            </w:r>
          </w:p>
        </w:tc>
      </w:tr>
      <w:tr w14:paraId="7697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restart"/>
            <w:vAlign w:val="center"/>
          </w:tcPr>
          <w:p w14:paraId="19A1BC88">
            <w:pPr>
              <w:widowControl/>
              <w:jc w:val="center"/>
              <w:rPr>
                <w:color w:val="000000"/>
                <w:kern w:val="0"/>
                <w:sz w:val="22"/>
                <w:szCs w:val="22"/>
                <w:highlight w:val="none"/>
              </w:rPr>
            </w:pPr>
            <w:r>
              <w:rPr>
                <w:color w:val="000000"/>
                <w:kern w:val="0"/>
                <w:sz w:val="22"/>
                <w:szCs w:val="22"/>
                <w:highlight w:val="none"/>
              </w:rPr>
              <w:t>1</w:t>
            </w:r>
          </w:p>
        </w:tc>
        <w:tc>
          <w:tcPr>
            <w:tcW w:w="1702" w:type="dxa"/>
            <w:shd w:val="clear" w:color="auto" w:fill="auto"/>
            <w:noWrap/>
            <w:vAlign w:val="center"/>
          </w:tcPr>
          <w:p w14:paraId="4D52A52E">
            <w:pPr>
              <w:widowControl/>
              <w:jc w:val="center"/>
              <w:rPr>
                <w:color w:val="000000"/>
                <w:kern w:val="0"/>
                <w:sz w:val="22"/>
                <w:szCs w:val="22"/>
                <w:highlight w:val="none"/>
              </w:rPr>
            </w:pPr>
            <w:r>
              <w:rPr>
                <w:color w:val="000000"/>
                <w:kern w:val="0"/>
                <w:sz w:val="22"/>
                <w:szCs w:val="22"/>
                <w:highlight w:val="none"/>
              </w:rPr>
              <w:t>6.37</w:t>
            </w:r>
          </w:p>
        </w:tc>
      </w:tr>
      <w:tr w14:paraId="10AB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continue"/>
            <w:vAlign w:val="center"/>
          </w:tcPr>
          <w:p w14:paraId="2D484514">
            <w:pPr>
              <w:widowControl/>
              <w:jc w:val="center"/>
              <w:rPr>
                <w:color w:val="000000"/>
                <w:kern w:val="0"/>
                <w:sz w:val="22"/>
                <w:szCs w:val="22"/>
                <w:highlight w:val="none"/>
              </w:rPr>
            </w:pPr>
          </w:p>
        </w:tc>
        <w:tc>
          <w:tcPr>
            <w:tcW w:w="1702" w:type="dxa"/>
            <w:shd w:val="clear" w:color="auto" w:fill="auto"/>
            <w:noWrap/>
            <w:vAlign w:val="center"/>
          </w:tcPr>
          <w:p w14:paraId="36FC85F4">
            <w:pPr>
              <w:widowControl/>
              <w:jc w:val="center"/>
              <w:rPr>
                <w:color w:val="000000"/>
                <w:kern w:val="0"/>
                <w:sz w:val="22"/>
                <w:szCs w:val="22"/>
                <w:highlight w:val="none"/>
              </w:rPr>
            </w:pPr>
            <w:r>
              <w:rPr>
                <w:color w:val="000000"/>
                <w:kern w:val="0"/>
                <w:sz w:val="22"/>
                <w:szCs w:val="22"/>
                <w:highlight w:val="none"/>
              </w:rPr>
              <w:t>6.10</w:t>
            </w:r>
          </w:p>
        </w:tc>
      </w:tr>
      <w:tr w14:paraId="3D62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restart"/>
            <w:vAlign w:val="center"/>
          </w:tcPr>
          <w:p w14:paraId="35C79DC4">
            <w:pPr>
              <w:widowControl/>
              <w:jc w:val="center"/>
              <w:rPr>
                <w:color w:val="000000"/>
                <w:kern w:val="0"/>
                <w:sz w:val="22"/>
                <w:szCs w:val="22"/>
                <w:highlight w:val="none"/>
              </w:rPr>
            </w:pPr>
            <w:r>
              <w:rPr>
                <w:color w:val="000000"/>
                <w:kern w:val="0"/>
                <w:sz w:val="22"/>
                <w:szCs w:val="22"/>
                <w:highlight w:val="none"/>
              </w:rPr>
              <w:t>2</w:t>
            </w:r>
          </w:p>
        </w:tc>
        <w:tc>
          <w:tcPr>
            <w:tcW w:w="1702" w:type="dxa"/>
            <w:shd w:val="clear" w:color="auto" w:fill="auto"/>
            <w:noWrap/>
            <w:vAlign w:val="center"/>
          </w:tcPr>
          <w:p w14:paraId="2425134F">
            <w:pPr>
              <w:widowControl/>
              <w:jc w:val="center"/>
              <w:rPr>
                <w:color w:val="000000"/>
                <w:kern w:val="0"/>
                <w:sz w:val="22"/>
                <w:szCs w:val="22"/>
                <w:highlight w:val="none"/>
              </w:rPr>
            </w:pPr>
            <w:r>
              <w:rPr>
                <w:color w:val="000000"/>
                <w:kern w:val="0"/>
                <w:sz w:val="22"/>
                <w:szCs w:val="22"/>
                <w:highlight w:val="none"/>
              </w:rPr>
              <w:t>6.53</w:t>
            </w:r>
          </w:p>
        </w:tc>
      </w:tr>
      <w:tr w14:paraId="572C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continue"/>
            <w:vAlign w:val="center"/>
          </w:tcPr>
          <w:p w14:paraId="67805EF9">
            <w:pPr>
              <w:widowControl/>
              <w:jc w:val="center"/>
              <w:rPr>
                <w:color w:val="000000"/>
                <w:kern w:val="0"/>
                <w:sz w:val="22"/>
                <w:szCs w:val="22"/>
                <w:highlight w:val="none"/>
              </w:rPr>
            </w:pPr>
          </w:p>
        </w:tc>
        <w:tc>
          <w:tcPr>
            <w:tcW w:w="1702" w:type="dxa"/>
            <w:shd w:val="clear" w:color="auto" w:fill="auto"/>
            <w:noWrap/>
            <w:vAlign w:val="center"/>
          </w:tcPr>
          <w:p w14:paraId="0981E4A3">
            <w:pPr>
              <w:widowControl/>
              <w:jc w:val="center"/>
              <w:rPr>
                <w:color w:val="000000"/>
                <w:kern w:val="0"/>
                <w:sz w:val="22"/>
                <w:szCs w:val="22"/>
                <w:highlight w:val="none"/>
              </w:rPr>
            </w:pPr>
            <w:r>
              <w:rPr>
                <w:color w:val="000000"/>
                <w:kern w:val="0"/>
                <w:sz w:val="22"/>
                <w:szCs w:val="22"/>
                <w:highlight w:val="none"/>
              </w:rPr>
              <w:t>6.30</w:t>
            </w:r>
          </w:p>
        </w:tc>
      </w:tr>
      <w:tr w14:paraId="174A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restart"/>
            <w:vAlign w:val="center"/>
          </w:tcPr>
          <w:p w14:paraId="479BCBBF">
            <w:pPr>
              <w:widowControl/>
              <w:jc w:val="center"/>
              <w:rPr>
                <w:color w:val="000000"/>
                <w:kern w:val="0"/>
                <w:sz w:val="22"/>
                <w:szCs w:val="22"/>
                <w:highlight w:val="none"/>
              </w:rPr>
            </w:pPr>
            <w:r>
              <w:rPr>
                <w:color w:val="000000"/>
                <w:kern w:val="0"/>
                <w:sz w:val="22"/>
                <w:szCs w:val="22"/>
                <w:highlight w:val="none"/>
              </w:rPr>
              <w:t>3</w:t>
            </w:r>
          </w:p>
        </w:tc>
        <w:tc>
          <w:tcPr>
            <w:tcW w:w="1702" w:type="dxa"/>
            <w:shd w:val="clear" w:color="auto" w:fill="auto"/>
            <w:noWrap/>
            <w:vAlign w:val="center"/>
          </w:tcPr>
          <w:p w14:paraId="739431E2">
            <w:pPr>
              <w:widowControl/>
              <w:jc w:val="center"/>
              <w:rPr>
                <w:color w:val="000000"/>
                <w:kern w:val="0"/>
                <w:sz w:val="22"/>
                <w:szCs w:val="22"/>
                <w:highlight w:val="none"/>
              </w:rPr>
            </w:pPr>
            <w:r>
              <w:rPr>
                <w:color w:val="000000"/>
                <w:kern w:val="0"/>
                <w:sz w:val="22"/>
                <w:szCs w:val="22"/>
                <w:highlight w:val="none"/>
              </w:rPr>
              <w:t>6.30</w:t>
            </w:r>
          </w:p>
        </w:tc>
      </w:tr>
      <w:tr w14:paraId="6E1F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continue"/>
            <w:vAlign w:val="center"/>
          </w:tcPr>
          <w:p w14:paraId="0344834D">
            <w:pPr>
              <w:widowControl/>
              <w:jc w:val="center"/>
              <w:rPr>
                <w:color w:val="000000"/>
                <w:kern w:val="0"/>
                <w:sz w:val="22"/>
                <w:szCs w:val="22"/>
                <w:highlight w:val="none"/>
              </w:rPr>
            </w:pPr>
          </w:p>
        </w:tc>
        <w:tc>
          <w:tcPr>
            <w:tcW w:w="1702" w:type="dxa"/>
            <w:shd w:val="clear" w:color="auto" w:fill="auto"/>
            <w:noWrap/>
            <w:vAlign w:val="center"/>
          </w:tcPr>
          <w:p w14:paraId="245BBAF3">
            <w:pPr>
              <w:widowControl/>
              <w:jc w:val="center"/>
              <w:rPr>
                <w:color w:val="000000"/>
                <w:kern w:val="0"/>
                <w:sz w:val="22"/>
                <w:szCs w:val="22"/>
                <w:highlight w:val="none"/>
              </w:rPr>
            </w:pPr>
            <w:r>
              <w:rPr>
                <w:color w:val="000000"/>
                <w:kern w:val="0"/>
                <w:sz w:val="22"/>
                <w:szCs w:val="22"/>
                <w:highlight w:val="none"/>
              </w:rPr>
              <w:t>6.50</w:t>
            </w:r>
          </w:p>
        </w:tc>
      </w:tr>
      <w:tr w14:paraId="659A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restart"/>
            <w:vAlign w:val="center"/>
          </w:tcPr>
          <w:p w14:paraId="1D0EC680">
            <w:pPr>
              <w:widowControl/>
              <w:jc w:val="center"/>
              <w:rPr>
                <w:color w:val="000000"/>
                <w:kern w:val="0"/>
                <w:sz w:val="22"/>
                <w:szCs w:val="22"/>
                <w:highlight w:val="none"/>
              </w:rPr>
            </w:pPr>
            <w:r>
              <w:rPr>
                <w:color w:val="000000"/>
                <w:kern w:val="0"/>
                <w:sz w:val="22"/>
                <w:szCs w:val="22"/>
                <w:highlight w:val="none"/>
              </w:rPr>
              <w:t>4</w:t>
            </w:r>
          </w:p>
        </w:tc>
        <w:tc>
          <w:tcPr>
            <w:tcW w:w="1702" w:type="dxa"/>
            <w:shd w:val="clear" w:color="auto" w:fill="auto"/>
            <w:noWrap/>
            <w:vAlign w:val="center"/>
          </w:tcPr>
          <w:p w14:paraId="54694576">
            <w:pPr>
              <w:widowControl/>
              <w:jc w:val="center"/>
              <w:rPr>
                <w:color w:val="000000"/>
                <w:kern w:val="0"/>
                <w:sz w:val="22"/>
                <w:szCs w:val="22"/>
                <w:highlight w:val="none"/>
              </w:rPr>
            </w:pPr>
            <w:r>
              <w:rPr>
                <w:color w:val="000000"/>
                <w:kern w:val="0"/>
                <w:sz w:val="22"/>
                <w:szCs w:val="22"/>
                <w:highlight w:val="none"/>
              </w:rPr>
              <w:t>5.53</w:t>
            </w:r>
          </w:p>
        </w:tc>
      </w:tr>
      <w:tr w14:paraId="5349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continue"/>
            <w:vAlign w:val="center"/>
          </w:tcPr>
          <w:p w14:paraId="4F5BE574">
            <w:pPr>
              <w:widowControl/>
              <w:jc w:val="center"/>
              <w:rPr>
                <w:color w:val="000000"/>
                <w:kern w:val="0"/>
                <w:sz w:val="22"/>
                <w:szCs w:val="22"/>
                <w:highlight w:val="none"/>
              </w:rPr>
            </w:pPr>
          </w:p>
        </w:tc>
        <w:tc>
          <w:tcPr>
            <w:tcW w:w="1702" w:type="dxa"/>
            <w:shd w:val="clear" w:color="auto" w:fill="auto"/>
            <w:noWrap/>
            <w:vAlign w:val="center"/>
          </w:tcPr>
          <w:p w14:paraId="770D462A">
            <w:pPr>
              <w:widowControl/>
              <w:jc w:val="center"/>
              <w:rPr>
                <w:color w:val="000000"/>
                <w:kern w:val="0"/>
                <w:sz w:val="22"/>
                <w:szCs w:val="22"/>
                <w:highlight w:val="none"/>
              </w:rPr>
            </w:pPr>
            <w:r>
              <w:rPr>
                <w:color w:val="000000"/>
                <w:kern w:val="0"/>
                <w:sz w:val="22"/>
                <w:szCs w:val="22"/>
                <w:highlight w:val="none"/>
              </w:rPr>
              <w:t>5.60</w:t>
            </w:r>
          </w:p>
        </w:tc>
      </w:tr>
      <w:tr w14:paraId="1A03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restart"/>
            <w:vAlign w:val="center"/>
          </w:tcPr>
          <w:p w14:paraId="7AFC1A2F">
            <w:pPr>
              <w:widowControl/>
              <w:jc w:val="center"/>
              <w:rPr>
                <w:color w:val="000000"/>
                <w:kern w:val="0"/>
                <w:sz w:val="22"/>
                <w:szCs w:val="22"/>
                <w:highlight w:val="none"/>
              </w:rPr>
            </w:pPr>
            <w:r>
              <w:rPr>
                <w:color w:val="000000"/>
                <w:kern w:val="0"/>
                <w:sz w:val="22"/>
                <w:szCs w:val="22"/>
                <w:highlight w:val="none"/>
              </w:rPr>
              <w:t>7</w:t>
            </w:r>
          </w:p>
        </w:tc>
        <w:tc>
          <w:tcPr>
            <w:tcW w:w="1702" w:type="dxa"/>
            <w:shd w:val="clear" w:color="auto" w:fill="auto"/>
            <w:noWrap/>
            <w:vAlign w:val="center"/>
          </w:tcPr>
          <w:p w14:paraId="594DD578">
            <w:pPr>
              <w:widowControl/>
              <w:jc w:val="center"/>
              <w:rPr>
                <w:color w:val="000000"/>
                <w:kern w:val="0"/>
                <w:sz w:val="22"/>
                <w:szCs w:val="22"/>
                <w:highlight w:val="none"/>
              </w:rPr>
            </w:pPr>
            <w:r>
              <w:rPr>
                <w:color w:val="000000"/>
                <w:kern w:val="0"/>
                <w:sz w:val="22"/>
                <w:szCs w:val="22"/>
                <w:highlight w:val="none"/>
              </w:rPr>
              <w:t>6.13</w:t>
            </w:r>
          </w:p>
        </w:tc>
      </w:tr>
      <w:tr w14:paraId="08E1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80" w:type="dxa"/>
            <w:vMerge w:val="continue"/>
            <w:vAlign w:val="center"/>
          </w:tcPr>
          <w:p w14:paraId="4E2793F4">
            <w:pPr>
              <w:widowControl/>
              <w:jc w:val="center"/>
              <w:rPr>
                <w:color w:val="000000"/>
                <w:kern w:val="0"/>
                <w:sz w:val="22"/>
                <w:szCs w:val="22"/>
                <w:highlight w:val="none"/>
              </w:rPr>
            </w:pPr>
          </w:p>
        </w:tc>
        <w:tc>
          <w:tcPr>
            <w:tcW w:w="1702" w:type="dxa"/>
            <w:shd w:val="clear" w:color="auto" w:fill="auto"/>
            <w:noWrap/>
            <w:vAlign w:val="center"/>
          </w:tcPr>
          <w:p w14:paraId="0832332A">
            <w:pPr>
              <w:widowControl/>
              <w:jc w:val="center"/>
              <w:rPr>
                <w:color w:val="000000"/>
                <w:kern w:val="0"/>
                <w:sz w:val="22"/>
                <w:szCs w:val="22"/>
                <w:highlight w:val="none"/>
              </w:rPr>
            </w:pPr>
            <w:r>
              <w:rPr>
                <w:color w:val="000000"/>
                <w:kern w:val="0"/>
                <w:sz w:val="22"/>
                <w:szCs w:val="22"/>
                <w:highlight w:val="none"/>
              </w:rPr>
              <w:t>6.23</w:t>
            </w:r>
          </w:p>
        </w:tc>
      </w:tr>
    </w:tbl>
    <w:p w14:paraId="30E7C1C5">
      <w:pPr>
        <w:widowControl/>
        <w:snapToGrid w:val="0"/>
        <w:spacing w:line="300" w:lineRule="auto"/>
        <w:ind w:firstLine="442"/>
        <w:rPr>
          <w:sz w:val="24"/>
          <w:highlight w:val="none"/>
        </w:rPr>
      </w:pPr>
      <w:r>
        <w:rPr>
          <w:rFonts w:hint="eastAsia"/>
          <w:sz w:val="24"/>
          <w:highlight w:val="none"/>
        </w:rPr>
        <w:t>使用表5的数据计算平均值μ为6.16，标准差σ为0.34，实验室6的数据是偏小的离群值，所以应使用平均值-2×标准差将其替代。</w:t>
      </w:r>
    </w:p>
    <w:p w14:paraId="45A6EB41">
      <w:pPr>
        <w:widowControl/>
        <w:snapToGrid w:val="0"/>
        <w:spacing w:line="300" w:lineRule="auto"/>
        <w:ind w:firstLine="442"/>
        <w:rPr>
          <w:sz w:val="24"/>
          <w:highlight w:val="none"/>
        </w:rPr>
      </w:pPr>
      <m:oMathPara>
        <m:oMath>
          <m:r>
            <m:rPr>
              <m:sty m:val="p"/>
            </m:rPr>
            <w:rPr>
              <w:rFonts w:ascii="Cambria Math" w:hAnsi="Cambria Math"/>
              <w:sz w:val="24"/>
              <w:highlight w:val="none"/>
            </w:rPr>
            <m:t>μ−2σ=6.16+2×0.34=5.48</m:t>
          </m:r>
        </m:oMath>
      </m:oMathPara>
    </w:p>
    <w:p w14:paraId="01FAA1D2">
      <w:pPr>
        <w:widowControl/>
        <w:snapToGrid w:val="0"/>
        <w:spacing w:line="300" w:lineRule="auto"/>
        <w:ind w:firstLine="442"/>
        <w:rPr>
          <w:sz w:val="24"/>
          <w:highlight w:val="none"/>
        </w:rPr>
      </w:pPr>
      <m:oMathPara>
        <m:oMath>
          <m:r>
            <m:rPr>
              <m:sty m:val="p"/>
            </m:rPr>
            <w:rPr>
              <w:rFonts w:ascii="Cambria Math" w:hAnsi="Cambria Math"/>
              <w:sz w:val="24"/>
              <w:highlight w:val="none"/>
            </w:rPr>
            <m:t>偏差值=5.48−离群值=5.48−2.33=3.14≈3.1</m:t>
          </m:r>
        </m:oMath>
      </m:oMathPara>
    </w:p>
    <w:p w14:paraId="58F312FF">
      <w:pPr>
        <w:widowControl/>
        <w:snapToGrid w:val="0"/>
        <w:spacing w:line="300" w:lineRule="auto"/>
        <w:ind w:firstLine="442"/>
        <w:rPr>
          <w:sz w:val="24"/>
          <w:highlight w:val="none"/>
        </w:rPr>
      </w:pPr>
      <w:r>
        <w:rPr>
          <w:rFonts w:hint="eastAsia"/>
          <w:sz w:val="24"/>
          <w:highlight w:val="none"/>
        </w:rPr>
        <w:t>将偏差值3.1加至实验室6的所有数据中以完成修改表6。使用表6进行样品A的精密度分析和计算。</w:t>
      </w:r>
    </w:p>
    <w:p w14:paraId="044A581C">
      <w:pPr>
        <w:jc w:val="center"/>
        <w:rPr>
          <w:rFonts w:eastAsia="黑体"/>
          <w:highlight w:val="none"/>
        </w:rPr>
      </w:pPr>
      <w:r>
        <w:rPr>
          <w:rFonts w:hint="eastAsia" w:eastAsia="黑体"/>
          <w:highlight w:val="none"/>
        </w:rPr>
        <w:t>表6 修改后的样品</w:t>
      </w:r>
      <w:r>
        <w:rPr>
          <w:rFonts w:eastAsia="黑体"/>
          <w:highlight w:val="none"/>
        </w:rPr>
        <w:t>A</w:t>
      </w:r>
      <w:r>
        <w:rPr>
          <w:rFonts w:hint="eastAsia" w:eastAsia="黑体"/>
          <w:highlight w:val="none"/>
        </w:rPr>
        <w:t>结果和补充统计数据</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1208"/>
        <w:gridCol w:w="684"/>
        <w:gridCol w:w="684"/>
        <w:gridCol w:w="683"/>
        <w:gridCol w:w="1807"/>
        <w:gridCol w:w="1506"/>
        <w:gridCol w:w="1506"/>
      </w:tblGrid>
      <w:tr w14:paraId="41B8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tcBorders>
              <w:top w:val="single" w:color="auto" w:sz="4" w:space="0"/>
              <w:left w:val="single" w:color="auto" w:sz="4" w:space="0"/>
              <w:bottom w:val="single" w:color="auto" w:sz="4" w:space="0"/>
              <w:right w:val="single" w:color="auto" w:sz="4" w:space="0"/>
            </w:tcBorders>
            <w:vAlign w:val="center"/>
          </w:tcPr>
          <w:p w14:paraId="3322E61E">
            <w:pPr>
              <w:widowControl/>
              <w:jc w:val="center"/>
              <w:textAlignment w:val="center"/>
              <w:rPr>
                <w:rFonts w:eastAsiaTheme="minorEastAsia"/>
                <w:szCs w:val="21"/>
                <w:highlight w:val="none"/>
              </w:rPr>
            </w:pPr>
            <w:r>
              <w:rPr>
                <w:rFonts w:hint="eastAsia" w:eastAsia="仿宋"/>
                <w:kern w:val="0"/>
                <w:szCs w:val="21"/>
                <w:highlight w:val="none"/>
              </w:rPr>
              <w:t>实验室</w:t>
            </w:r>
            <w:r>
              <w:rPr>
                <w:rFonts w:eastAsia="仿宋"/>
                <w:kern w:val="0"/>
                <w:szCs w:val="21"/>
                <w:highlight w:val="none"/>
              </w:rPr>
              <w:t>p,p=</w:t>
            </w:r>
            <w:r>
              <w:rPr>
                <w:rFonts w:hint="eastAsia" w:eastAsia="仿宋"/>
                <w:kern w:val="0"/>
                <w:szCs w:val="21"/>
                <w:highlight w:val="none"/>
              </w:rPr>
              <w:t>6</w:t>
            </w:r>
          </w:p>
        </w:tc>
        <w:tc>
          <w:tcPr>
            <w:tcW w:w="1208" w:type="dxa"/>
            <w:vMerge w:val="restart"/>
            <w:tcBorders>
              <w:top w:val="single" w:color="auto" w:sz="4" w:space="0"/>
              <w:left w:val="single" w:color="auto" w:sz="4" w:space="0"/>
              <w:bottom w:val="single" w:color="auto" w:sz="4" w:space="0"/>
              <w:right w:val="single" w:color="auto" w:sz="4" w:space="0"/>
            </w:tcBorders>
            <w:vAlign w:val="center"/>
          </w:tcPr>
          <w:p w14:paraId="5CE2CC5C">
            <w:pPr>
              <w:widowControl/>
              <w:jc w:val="center"/>
              <w:textAlignment w:val="center"/>
              <w:rPr>
                <w:rFonts w:eastAsiaTheme="minorEastAsia"/>
                <w:szCs w:val="21"/>
                <w:highlight w:val="none"/>
              </w:rPr>
            </w:pPr>
            <w:r>
              <w:rPr>
                <w:rFonts w:hint="eastAsia" w:eastAsia="仿宋"/>
                <w:kern w:val="0"/>
                <w:szCs w:val="21"/>
                <w:highlight w:val="none"/>
              </w:rPr>
              <w:t>天</w:t>
            </w:r>
            <w:r>
              <w:rPr>
                <w:rFonts w:eastAsia="仿宋"/>
                <w:kern w:val="0"/>
                <w:szCs w:val="21"/>
                <w:highlight w:val="none"/>
              </w:rPr>
              <w:t>q</w:t>
            </w:r>
            <w:r>
              <w:rPr>
                <w:rFonts w:hint="eastAsia" w:eastAsia="仿宋"/>
                <w:kern w:val="0"/>
                <w:szCs w:val="21"/>
                <w:highlight w:val="none"/>
              </w:rPr>
              <w:t>，</w:t>
            </w:r>
            <w:r>
              <w:rPr>
                <w:rFonts w:eastAsia="仿宋"/>
                <w:kern w:val="0"/>
                <w:szCs w:val="21"/>
                <w:highlight w:val="none"/>
              </w:rPr>
              <w:t>q=2</w:t>
            </w:r>
          </w:p>
        </w:tc>
        <w:tc>
          <w:tcPr>
            <w:tcW w:w="2051" w:type="dxa"/>
            <w:gridSpan w:val="3"/>
            <w:tcBorders>
              <w:top w:val="single" w:color="auto" w:sz="4" w:space="0"/>
              <w:left w:val="single" w:color="auto" w:sz="4" w:space="0"/>
              <w:bottom w:val="single" w:color="auto" w:sz="4" w:space="0"/>
              <w:right w:val="single" w:color="auto" w:sz="4" w:space="0"/>
            </w:tcBorders>
            <w:vAlign w:val="center"/>
          </w:tcPr>
          <w:p w14:paraId="03C6DFDC">
            <w:pPr>
              <w:jc w:val="center"/>
              <w:rPr>
                <w:rFonts w:eastAsiaTheme="minorEastAsia"/>
                <w:szCs w:val="21"/>
                <w:highlight w:val="none"/>
              </w:rPr>
            </w:pPr>
            <w:r>
              <w:rPr>
                <w:rFonts w:hint="eastAsia" w:eastAsiaTheme="minorEastAsia"/>
                <w:szCs w:val="21"/>
                <w:highlight w:val="none"/>
              </w:rPr>
              <w:t>试验结果</w:t>
            </w:r>
          </w:p>
        </w:tc>
        <w:tc>
          <w:tcPr>
            <w:tcW w:w="1807" w:type="dxa"/>
            <w:tcBorders>
              <w:top w:val="single" w:color="auto" w:sz="4" w:space="0"/>
              <w:left w:val="single" w:color="auto" w:sz="4" w:space="0"/>
              <w:bottom w:val="single" w:color="auto" w:sz="4" w:space="0"/>
              <w:right w:val="single" w:color="auto" w:sz="4" w:space="0"/>
            </w:tcBorders>
            <w:vAlign w:val="center"/>
          </w:tcPr>
          <w:p w14:paraId="7F86A6C0">
            <w:pPr>
              <w:jc w:val="center"/>
              <w:rPr>
                <w:rFonts w:eastAsiaTheme="minorEastAsia"/>
                <w:szCs w:val="21"/>
                <w:highlight w:val="none"/>
              </w:rPr>
            </w:pPr>
            <w:r>
              <w:rPr>
                <w:rFonts w:hint="eastAsia" w:eastAsiaTheme="minorEastAsia"/>
                <w:szCs w:val="21"/>
                <w:highlight w:val="none"/>
              </w:rPr>
              <w:t>平均值</w:t>
            </w:r>
          </w:p>
        </w:tc>
        <w:tc>
          <w:tcPr>
            <w:tcW w:w="1506" w:type="dxa"/>
            <w:tcBorders>
              <w:top w:val="single" w:color="auto" w:sz="4" w:space="0"/>
              <w:left w:val="single" w:color="auto" w:sz="4" w:space="0"/>
              <w:bottom w:val="single" w:color="auto" w:sz="4" w:space="0"/>
              <w:right w:val="single" w:color="auto" w:sz="4" w:space="0"/>
            </w:tcBorders>
            <w:vAlign w:val="center"/>
          </w:tcPr>
          <w:p w14:paraId="6BB81DEA">
            <w:pPr>
              <w:jc w:val="center"/>
              <w:rPr>
                <w:rFonts w:eastAsiaTheme="minorEastAsia"/>
                <w:szCs w:val="21"/>
                <w:highlight w:val="none"/>
              </w:rPr>
            </w:pPr>
            <w:r>
              <w:rPr>
                <w:rFonts w:hint="eastAsia" w:eastAsiaTheme="minorEastAsia"/>
                <w:szCs w:val="21"/>
                <w:highlight w:val="none"/>
              </w:rPr>
              <w:t>天平均值</w:t>
            </w:r>
          </w:p>
        </w:tc>
        <w:tc>
          <w:tcPr>
            <w:tcW w:w="1506" w:type="dxa"/>
            <w:tcBorders>
              <w:top w:val="single" w:color="auto" w:sz="4" w:space="0"/>
              <w:left w:val="single" w:color="auto" w:sz="4" w:space="0"/>
              <w:bottom w:val="single" w:color="auto" w:sz="4" w:space="0"/>
              <w:right w:val="single" w:color="auto" w:sz="4" w:space="0"/>
            </w:tcBorders>
            <w:vAlign w:val="center"/>
          </w:tcPr>
          <w:p w14:paraId="1160981E">
            <w:pPr>
              <w:jc w:val="center"/>
              <w:rPr>
                <w:rFonts w:eastAsiaTheme="minorEastAsia"/>
                <w:szCs w:val="21"/>
                <w:highlight w:val="none"/>
              </w:rPr>
            </w:pPr>
            <w:r>
              <w:rPr>
                <w:rFonts w:hint="eastAsia" w:eastAsiaTheme="minorEastAsia"/>
                <w:szCs w:val="21"/>
                <w:highlight w:val="none"/>
              </w:rPr>
              <w:t>天标准差</w:t>
            </w:r>
          </w:p>
        </w:tc>
      </w:tr>
      <w:tr w14:paraId="33F1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20CA34">
            <w:pPr>
              <w:widowControl/>
              <w:jc w:val="left"/>
              <w:rPr>
                <w:rFonts w:eastAsiaTheme="minorEastAsia"/>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9FA12DE">
            <w:pPr>
              <w:widowControl/>
              <w:jc w:val="left"/>
              <w:rPr>
                <w:rFonts w:eastAsiaTheme="minorEastAsia"/>
                <w:szCs w:val="21"/>
                <w:highlight w:val="none"/>
              </w:rPr>
            </w:pPr>
          </w:p>
        </w:tc>
        <w:tc>
          <w:tcPr>
            <w:tcW w:w="684" w:type="dxa"/>
            <w:tcBorders>
              <w:top w:val="single" w:color="auto" w:sz="4" w:space="0"/>
              <w:left w:val="single" w:color="auto" w:sz="4" w:space="0"/>
              <w:bottom w:val="single" w:color="auto" w:sz="4" w:space="0"/>
              <w:right w:val="single" w:color="auto" w:sz="4" w:space="0"/>
            </w:tcBorders>
            <w:vAlign w:val="center"/>
          </w:tcPr>
          <w:p w14:paraId="69B2B0A7">
            <w:pPr>
              <w:jc w:val="center"/>
              <w:rPr>
                <w:rFonts w:eastAsiaTheme="minorEastAsia"/>
                <w:szCs w:val="21"/>
                <w:highlight w:val="none"/>
              </w:rPr>
            </w:pPr>
            <w:r>
              <w:rPr>
                <w:rFonts w:eastAsiaTheme="minorEastAsia"/>
                <w:szCs w:val="21"/>
                <w:highlight w:val="none"/>
              </w:rPr>
              <w:t>M1</w:t>
            </w:r>
          </w:p>
        </w:tc>
        <w:tc>
          <w:tcPr>
            <w:tcW w:w="684" w:type="dxa"/>
            <w:tcBorders>
              <w:top w:val="single" w:color="auto" w:sz="4" w:space="0"/>
              <w:left w:val="single" w:color="auto" w:sz="4" w:space="0"/>
              <w:bottom w:val="single" w:color="auto" w:sz="4" w:space="0"/>
              <w:right w:val="single" w:color="auto" w:sz="4" w:space="0"/>
            </w:tcBorders>
            <w:vAlign w:val="center"/>
          </w:tcPr>
          <w:p w14:paraId="072FE6FD">
            <w:pPr>
              <w:jc w:val="center"/>
              <w:rPr>
                <w:rFonts w:eastAsiaTheme="minorEastAsia"/>
                <w:szCs w:val="21"/>
                <w:highlight w:val="none"/>
              </w:rPr>
            </w:pPr>
            <w:r>
              <w:rPr>
                <w:rFonts w:eastAsiaTheme="minorEastAsia"/>
                <w:szCs w:val="21"/>
                <w:highlight w:val="none"/>
              </w:rPr>
              <w:t>M2</w:t>
            </w:r>
          </w:p>
        </w:tc>
        <w:tc>
          <w:tcPr>
            <w:tcW w:w="683" w:type="dxa"/>
            <w:tcBorders>
              <w:top w:val="single" w:color="auto" w:sz="4" w:space="0"/>
              <w:left w:val="single" w:color="auto" w:sz="4" w:space="0"/>
              <w:bottom w:val="single" w:color="auto" w:sz="4" w:space="0"/>
              <w:right w:val="single" w:color="auto" w:sz="4" w:space="0"/>
            </w:tcBorders>
            <w:vAlign w:val="center"/>
          </w:tcPr>
          <w:p w14:paraId="53BD361A">
            <w:pPr>
              <w:jc w:val="center"/>
              <w:rPr>
                <w:rFonts w:eastAsiaTheme="minorEastAsia"/>
                <w:szCs w:val="21"/>
                <w:highlight w:val="none"/>
              </w:rPr>
            </w:pPr>
            <w:r>
              <w:rPr>
                <w:rFonts w:eastAsiaTheme="minorEastAsia"/>
                <w:szCs w:val="21"/>
                <w:highlight w:val="none"/>
              </w:rPr>
              <w:t>M3</w:t>
            </w:r>
          </w:p>
        </w:tc>
        <w:tc>
          <w:tcPr>
            <w:tcW w:w="1807" w:type="dxa"/>
            <w:tcBorders>
              <w:top w:val="single" w:color="auto" w:sz="4" w:space="0"/>
              <w:left w:val="single" w:color="auto" w:sz="4" w:space="0"/>
              <w:bottom w:val="single" w:color="auto" w:sz="4" w:space="0"/>
              <w:right w:val="single" w:color="auto" w:sz="4" w:space="0"/>
            </w:tcBorders>
            <w:vAlign w:val="center"/>
          </w:tcPr>
          <w:p w14:paraId="1CD15425">
            <w:pPr>
              <w:jc w:val="center"/>
              <w:rPr>
                <w:rFonts w:eastAsiaTheme="minorEastAsia"/>
                <w:szCs w:val="21"/>
                <w:highlight w:val="none"/>
              </w:rPr>
            </w:pPr>
            <m:oMath>
              <m:bar>
                <m:barPr>
                  <m:pos m:val="top"/>
                  <m:ctrlPr>
                    <w:rPr>
                      <w:rFonts w:ascii="Cambria Math" w:hAnsi="Cambria Math" w:eastAsiaTheme="minorEastAsia"/>
                      <w:szCs w:val="21"/>
                      <w:highlight w:val="none"/>
                    </w:rPr>
                  </m:ctrlPr>
                </m:barPr>
                <m:e>
                  <m:r>
                    <m:rPr/>
                    <w:rPr>
                      <w:rFonts w:ascii="Cambria Math" w:hAnsi="Cambria Math" w:eastAsiaTheme="minorEastAsia"/>
                      <w:szCs w:val="21"/>
                      <w:highlight w:val="none"/>
                    </w:rPr>
                    <m:t>y</m:t>
                  </m:r>
                  <m:ctrlPr>
                    <w:rPr>
                      <w:rFonts w:ascii="Cambria Math" w:hAnsi="Cambria Math" w:eastAsiaTheme="minorEastAsia"/>
                      <w:szCs w:val="21"/>
                      <w:highlight w:val="none"/>
                    </w:rPr>
                  </m:ctrlPr>
                </m:e>
              </m:bar>
            </m:oMath>
            <w:r>
              <w:rPr>
                <w:rFonts w:eastAsiaTheme="minorEastAsia"/>
                <w:szCs w:val="21"/>
                <w:highlight w:val="none"/>
                <w:vertAlign w:val="subscript"/>
              </w:rPr>
              <w:t>ij·</w:t>
            </w:r>
          </w:p>
        </w:tc>
        <w:tc>
          <w:tcPr>
            <w:tcW w:w="1506" w:type="dxa"/>
            <w:tcBorders>
              <w:top w:val="single" w:color="auto" w:sz="4" w:space="0"/>
              <w:left w:val="single" w:color="auto" w:sz="4" w:space="0"/>
              <w:bottom w:val="single" w:color="auto" w:sz="4" w:space="0"/>
              <w:right w:val="single" w:color="auto" w:sz="4" w:space="0"/>
            </w:tcBorders>
            <w:vAlign w:val="center"/>
          </w:tcPr>
          <w:p w14:paraId="2595DAF9">
            <w:pPr>
              <w:jc w:val="center"/>
              <w:rPr>
                <w:rFonts w:eastAsiaTheme="minorEastAsia"/>
                <w:szCs w:val="21"/>
                <w:highlight w:val="none"/>
              </w:rPr>
            </w:pPr>
            <m:oMath>
              <m:bar>
                <m:barPr>
                  <m:pos m:val="top"/>
                  <m:ctrlPr>
                    <w:rPr>
                      <w:rFonts w:ascii="Cambria Math" w:hAnsi="Cambria Math" w:eastAsiaTheme="minorEastAsia"/>
                      <w:szCs w:val="21"/>
                      <w:highlight w:val="none"/>
                    </w:rPr>
                  </m:ctrlPr>
                </m:barPr>
                <m:e>
                  <m:r>
                    <m:rPr/>
                    <w:rPr>
                      <w:rFonts w:ascii="Cambria Math" w:hAnsi="Cambria Math" w:eastAsiaTheme="minorEastAsia"/>
                      <w:szCs w:val="21"/>
                      <w:highlight w:val="none"/>
                    </w:rPr>
                    <m:t>y</m:t>
                  </m:r>
                  <m:ctrlPr>
                    <w:rPr>
                      <w:rFonts w:ascii="Cambria Math" w:hAnsi="Cambria Math" w:eastAsiaTheme="minorEastAsia"/>
                      <w:szCs w:val="21"/>
                      <w:highlight w:val="none"/>
                    </w:rPr>
                  </m:ctrlPr>
                </m:e>
              </m:bar>
            </m:oMath>
            <w:r>
              <w:rPr>
                <w:rFonts w:eastAsiaTheme="minorEastAsia"/>
                <w:szCs w:val="21"/>
                <w:highlight w:val="none"/>
                <w:vertAlign w:val="subscript"/>
              </w:rPr>
              <w:t>i··</w:t>
            </w:r>
          </w:p>
        </w:tc>
        <w:tc>
          <w:tcPr>
            <w:tcW w:w="1506" w:type="dxa"/>
            <w:tcBorders>
              <w:top w:val="single" w:color="auto" w:sz="4" w:space="0"/>
              <w:left w:val="single" w:color="auto" w:sz="4" w:space="0"/>
              <w:bottom w:val="single" w:color="auto" w:sz="4" w:space="0"/>
              <w:right w:val="single" w:color="auto" w:sz="4" w:space="0"/>
            </w:tcBorders>
            <w:vAlign w:val="center"/>
          </w:tcPr>
          <w:p w14:paraId="00FE3989">
            <w:pPr>
              <w:jc w:val="center"/>
              <w:rPr>
                <w:rFonts w:eastAsiaTheme="minorEastAsia"/>
                <w:szCs w:val="21"/>
                <w:highlight w:val="none"/>
              </w:rPr>
            </w:pPr>
            <w:r>
              <w:rPr>
                <w:rFonts w:eastAsiaTheme="minorEastAsia"/>
                <w:szCs w:val="21"/>
                <w:highlight w:val="none"/>
              </w:rPr>
              <w:t>s</w:t>
            </w:r>
            <w:r>
              <w:rPr>
                <w:rFonts w:eastAsiaTheme="minorEastAsia"/>
                <w:szCs w:val="21"/>
                <w:highlight w:val="none"/>
                <w:vertAlign w:val="subscript"/>
              </w:rPr>
              <w:t>i</w:t>
            </w:r>
          </w:p>
        </w:tc>
      </w:tr>
      <w:tr w14:paraId="0883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tcBorders>
              <w:top w:val="single" w:color="auto" w:sz="4" w:space="0"/>
              <w:left w:val="single" w:color="auto" w:sz="4" w:space="0"/>
              <w:bottom w:val="single" w:color="auto" w:sz="4" w:space="0"/>
              <w:right w:val="single" w:color="auto" w:sz="4" w:space="0"/>
            </w:tcBorders>
            <w:vAlign w:val="center"/>
          </w:tcPr>
          <w:p w14:paraId="60C33347">
            <w:pPr>
              <w:jc w:val="center"/>
              <w:rPr>
                <w:rFonts w:eastAsiaTheme="minorEastAsia"/>
                <w:szCs w:val="21"/>
                <w:highlight w:val="none"/>
              </w:rPr>
            </w:pPr>
            <w:bookmarkStart w:id="39" w:name="_Hlk207384163"/>
            <w:r>
              <w:rPr>
                <w:rFonts w:eastAsiaTheme="minorEastAsia"/>
                <w:szCs w:val="21"/>
                <w:highlight w:val="none"/>
              </w:rPr>
              <w:t>1</w:t>
            </w:r>
          </w:p>
        </w:tc>
        <w:tc>
          <w:tcPr>
            <w:tcW w:w="1208" w:type="dxa"/>
            <w:tcBorders>
              <w:top w:val="single" w:color="auto" w:sz="4" w:space="0"/>
              <w:left w:val="single" w:color="auto" w:sz="4" w:space="0"/>
              <w:bottom w:val="single" w:color="auto" w:sz="4" w:space="0"/>
              <w:right w:val="single" w:color="auto" w:sz="4" w:space="0"/>
            </w:tcBorders>
            <w:vAlign w:val="center"/>
          </w:tcPr>
          <w:p w14:paraId="3B931681">
            <w:pPr>
              <w:jc w:val="center"/>
              <w:rPr>
                <w:rFonts w:eastAsiaTheme="minorEastAsia"/>
                <w:szCs w:val="21"/>
                <w:highlight w:val="none"/>
              </w:rPr>
            </w:pPr>
            <w:r>
              <w:rPr>
                <w:rFonts w:hint="eastAsia" w:eastAsiaTheme="minorEastAsia"/>
                <w:szCs w:val="21"/>
                <w:highlight w:val="none"/>
                <w:lang w:val="en-US" w:eastAsia="zh-CN"/>
              </w:rPr>
              <w:t>1</w:t>
            </w:r>
          </w:p>
        </w:tc>
        <w:tc>
          <w:tcPr>
            <w:tcW w:w="684" w:type="dxa"/>
            <w:tcBorders>
              <w:top w:val="single" w:color="auto" w:sz="4" w:space="0"/>
              <w:left w:val="single" w:color="auto" w:sz="4" w:space="0"/>
              <w:bottom w:val="single" w:color="auto" w:sz="4" w:space="0"/>
              <w:right w:val="single" w:color="auto" w:sz="4" w:space="0"/>
            </w:tcBorders>
          </w:tcPr>
          <w:p w14:paraId="14D31DB8">
            <w:pPr>
              <w:jc w:val="center"/>
              <w:rPr>
                <w:rFonts w:eastAsiaTheme="minorEastAsia"/>
                <w:color w:val="000000"/>
                <w:szCs w:val="21"/>
                <w:highlight w:val="none"/>
              </w:rPr>
            </w:pPr>
            <w:r>
              <w:rPr>
                <w:szCs w:val="21"/>
                <w:highlight w:val="none"/>
              </w:rPr>
              <w:t>6.4</w:t>
            </w:r>
          </w:p>
        </w:tc>
        <w:tc>
          <w:tcPr>
            <w:tcW w:w="684" w:type="dxa"/>
            <w:tcBorders>
              <w:top w:val="single" w:color="auto" w:sz="4" w:space="0"/>
              <w:left w:val="single" w:color="auto" w:sz="4" w:space="0"/>
              <w:bottom w:val="single" w:color="auto" w:sz="4" w:space="0"/>
              <w:right w:val="single" w:color="auto" w:sz="4" w:space="0"/>
            </w:tcBorders>
          </w:tcPr>
          <w:p w14:paraId="0227E0EF">
            <w:pPr>
              <w:jc w:val="center"/>
              <w:rPr>
                <w:rFonts w:eastAsiaTheme="minorEastAsia"/>
                <w:color w:val="000000"/>
                <w:szCs w:val="21"/>
                <w:highlight w:val="none"/>
              </w:rPr>
            </w:pPr>
            <w:r>
              <w:rPr>
                <w:szCs w:val="21"/>
                <w:highlight w:val="none"/>
              </w:rPr>
              <w:t>6.1</w:t>
            </w:r>
          </w:p>
        </w:tc>
        <w:tc>
          <w:tcPr>
            <w:tcW w:w="683" w:type="dxa"/>
            <w:tcBorders>
              <w:top w:val="single" w:color="auto" w:sz="4" w:space="0"/>
              <w:left w:val="single" w:color="auto" w:sz="4" w:space="0"/>
              <w:bottom w:val="single" w:color="auto" w:sz="4" w:space="0"/>
              <w:right w:val="single" w:color="auto" w:sz="4" w:space="0"/>
            </w:tcBorders>
          </w:tcPr>
          <w:p w14:paraId="4EECD012">
            <w:pPr>
              <w:jc w:val="center"/>
              <w:rPr>
                <w:rFonts w:eastAsiaTheme="minorEastAsia"/>
                <w:color w:val="000000"/>
                <w:szCs w:val="21"/>
                <w:highlight w:val="none"/>
              </w:rPr>
            </w:pPr>
            <w:r>
              <w:rPr>
                <w:szCs w:val="21"/>
                <w:highlight w:val="none"/>
              </w:rPr>
              <w:t>6.6</w:t>
            </w:r>
          </w:p>
        </w:tc>
        <w:tc>
          <w:tcPr>
            <w:tcW w:w="1807" w:type="dxa"/>
            <w:tcBorders>
              <w:top w:val="single" w:color="auto" w:sz="4" w:space="0"/>
              <w:left w:val="single" w:color="auto" w:sz="4" w:space="0"/>
              <w:bottom w:val="single" w:color="auto" w:sz="4" w:space="0"/>
              <w:right w:val="single" w:color="auto" w:sz="4" w:space="0"/>
            </w:tcBorders>
            <w:vAlign w:val="bottom"/>
          </w:tcPr>
          <w:p w14:paraId="6DF71290">
            <w:pPr>
              <w:jc w:val="center"/>
              <w:rPr>
                <w:rFonts w:eastAsiaTheme="minorEastAsia"/>
                <w:color w:val="000000"/>
                <w:szCs w:val="21"/>
                <w:highlight w:val="none"/>
              </w:rPr>
            </w:pPr>
            <w:r>
              <w:rPr>
                <w:color w:val="000000"/>
                <w:szCs w:val="21"/>
                <w:highlight w:val="none"/>
              </w:rPr>
              <w:t xml:space="preserve">6.37 </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3A900EDB">
            <w:pPr>
              <w:jc w:val="center"/>
              <w:rPr>
                <w:rFonts w:eastAsiaTheme="minorEastAsia"/>
                <w:szCs w:val="21"/>
                <w:highlight w:val="none"/>
              </w:rPr>
            </w:pPr>
            <w:r>
              <w:rPr>
                <w:rFonts w:eastAsiaTheme="minorEastAsia"/>
                <w:szCs w:val="21"/>
                <w:highlight w:val="none"/>
              </w:rPr>
              <w:t>6.23</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4396BAA7">
            <w:pPr>
              <w:jc w:val="center"/>
              <w:rPr>
                <w:rFonts w:eastAsiaTheme="minorEastAsia"/>
                <w:szCs w:val="21"/>
                <w:highlight w:val="none"/>
              </w:rPr>
            </w:pPr>
            <w:r>
              <w:rPr>
                <w:rFonts w:eastAsiaTheme="minorEastAsia"/>
                <w:szCs w:val="21"/>
                <w:highlight w:val="none"/>
              </w:rPr>
              <w:t>0.19</w:t>
            </w:r>
          </w:p>
        </w:tc>
      </w:tr>
      <w:tr w14:paraId="6DF56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85379CD">
            <w:pPr>
              <w:widowControl/>
              <w:jc w:val="left"/>
              <w:rPr>
                <w:rFonts w:eastAsiaTheme="minorEastAsia"/>
                <w:szCs w:val="21"/>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14:paraId="75748057">
            <w:pPr>
              <w:jc w:val="center"/>
              <w:rPr>
                <w:rFonts w:eastAsiaTheme="minorEastAsia"/>
                <w:szCs w:val="21"/>
                <w:highlight w:val="none"/>
              </w:rPr>
            </w:pPr>
            <w:r>
              <w:rPr>
                <w:rFonts w:hint="eastAsia" w:eastAsiaTheme="minorEastAsia"/>
                <w:szCs w:val="21"/>
                <w:highlight w:val="none"/>
                <w:lang w:val="en-US" w:eastAsia="zh-CN"/>
              </w:rPr>
              <w:t>2</w:t>
            </w:r>
          </w:p>
        </w:tc>
        <w:tc>
          <w:tcPr>
            <w:tcW w:w="684" w:type="dxa"/>
            <w:tcBorders>
              <w:top w:val="single" w:color="auto" w:sz="4" w:space="0"/>
              <w:left w:val="single" w:color="auto" w:sz="4" w:space="0"/>
              <w:bottom w:val="single" w:color="auto" w:sz="4" w:space="0"/>
              <w:right w:val="single" w:color="auto" w:sz="4" w:space="0"/>
            </w:tcBorders>
          </w:tcPr>
          <w:p w14:paraId="116C85C4">
            <w:pPr>
              <w:jc w:val="center"/>
              <w:rPr>
                <w:szCs w:val="21"/>
                <w:highlight w:val="none"/>
              </w:rPr>
            </w:pPr>
            <w:r>
              <w:rPr>
                <w:szCs w:val="21"/>
                <w:highlight w:val="none"/>
              </w:rPr>
              <w:t>6.1</w:t>
            </w:r>
          </w:p>
        </w:tc>
        <w:tc>
          <w:tcPr>
            <w:tcW w:w="684" w:type="dxa"/>
            <w:tcBorders>
              <w:top w:val="single" w:color="auto" w:sz="4" w:space="0"/>
              <w:left w:val="single" w:color="auto" w:sz="4" w:space="0"/>
              <w:bottom w:val="single" w:color="auto" w:sz="4" w:space="0"/>
              <w:right w:val="single" w:color="auto" w:sz="4" w:space="0"/>
            </w:tcBorders>
          </w:tcPr>
          <w:p w14:paraId="0B5462EF">
            <w:pPr>
              <w:jc w:val="center"/>
              <w:rPr>
                <w:szCs w:val="21"/>
                <w:highlight w:val="none"/>
              </w:rPr>
            </w:pPr>
            <w:r>
              <w:rPr>
                <w:szCs w:val="21"/>
                <w:highlight w:val="none"/>
              </w:rPr>
              <w:t>6.1</w:t>
            </w:r>
          </w:p>
        </w:tc>
        <w:tc>
          <w:tcPr>
            <w:tcW w:w="683" w:type="dxa"/>
            <w:tcBorders>
              <w:top w:val="single" w:color="auto" w:sz="4" w:space="0"/>
              <w:left w:val="single" w:color="auto" w:sz="4" w:space="0"/>
              <w:bottom w:val="single" w:color="auto" w:sz="4" w:space="0"/>
              <w:right w:val="single" w:color="auto" w:sz="4" w:space="0"/>
            </w:tcBorders>
          </w:tcPr>
          <w:p w14:paraId="3F641D2D">
            <w:pPr>
              <w:jc w:val="center"/>
              <w:rPr>
                <w:szCs w:val="21"/>
                <w:highlight w:val="none"/>
              </w:rPr>
            </w:pPr>
            <w:r>
              <w:rPr>
                <w:szCs w:val="21"/>
                <w:highlight w:val="none"/>
              </w:rPr>
              <w:t>6.1</w:t>
            </w:r>
          </w:p>
        </w:tc>
        <w:tc>
          <w:tcPr>
            <w:tcW w:w="1807" w:type="dxa"/>
            <w:tcBorders>
              <w:top w:val="single" w:color="auto" w:sz="4" w:space="0"/>
              <w:left w:val="single" w:color="auto" w:sz="4" w:space="0"/>
              <w:bottom w:val="single" w:color="auto" w:sz="4" w:space="0"/>
              <w:right w:val="single" w:color="auto" w:sz="4" w:space="0"/>
            </w:tcBorders>
            <w:vAlign w:val="bottom"/>
          </w:tcPr>
          <w:p w14:paraId="7EC02395">
            <w:pPr>
              <w:jc w:val="center"/>
              <w:rPr>
                <w:szCs w:val="21"/>
                <w:highlight w:val="none"/>
              </w:rPr>
            </w:pPr>
            <w:r>
              <w:rPr>
                <w:szCs w:val="21"/>
                <w:highlight w:val="none"/>
              </w:rPr>
              <w:t xml:space="preserve">6.10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C21FBF9">
            <w:pPr>
              <w:widowControl/>
              <w:jc w:val="left"/>
              <w:rPr>
                <w:rFonts w:eastAsiaTheme="minorEastAsia"/>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ECC4810">
            <w:pPr>
              <w:widowControl/>
              <w:jc w:val="left"/>
              <w:rPr>
                <w:rFonts w:eastAsiaTheme="minorEastAsia"/>
                <w:szCs w:val="21"/>
                <w:highlight w:val="none"/>
              </w:rPr>
            </w:pPr>
          </w:p>
        </w:tc>
      </w:tr>
      <w:tr w14:paraId="6E59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tcBorders>
              <w:top w:val="single" w:color="auto" w:sz="4" w:space="0"/>
              <w:left w:val="single" w:color="auto" w:sz="4" w:space="0"/>
              <w:bottom w:val="single" w:color="auto" w:sz="4" w:space="0"/>
              <w:right w:val="single" w:color="auto" w:sz="4" w:space="0"/>
            </w:tcBorders>
            <w:vAlign w:val="center"/>
          </w:tcPr>
          <w:p w14:paraId="7AA4A2B1">
            <w:pPr>
              <w:jc w:val="center"/>
              <w:rPr>
                <w:rFonts w:eastAsiaTheme="minorEastAsia"/>
                <w:szCs w:val="21"/>
                <w:highlight w:val="none"/>
              </w:rPr>
            </w:pPr>
            <w:r>
              <w:rPr>
                <w:rFonts w:eastAsiaTheme="minorEastAsia"/>
                <w:szCs w:val="21"/>
                <w:highlight w:val="none"/>
              </w:rPr>
              <w:t>2</w:t>
            </w:r>
          </w:p>
        </w:tc>
        <w:tc>
          <w:tcPr>
            <w:tcW w:w="1208" w:type="dxa"/>
            <w:tcBorders>
              <w:top w:val="single" w:color="auto" w:sz="4" w:space="0"/>
              <w:left w:val="single" w:color="auto" w:sz="4" w:space="0"/>
              <w:bottom w:val="single" w:color="auto" w:sz="4" w:space="0"/>
              <w:right w:val="single" w:color="auto" w:sz="4" w:space="0"/>
            </w:tcBorders>
            <w:vAlign w:val="center"/>
          </w:tcPr>
          <w:p w14:paraId="19024B87">
            <w:pPr>
              <w:jc w:val="center"/>
              <w:rPr>
                <w:rFonts w:eastAsiaTheme="minorEastAsia"/>
                <w:szCs w:val="21"/>
                <w:highlight w:val="none"/>
              </w:rPr>
            </w:pPr>
            <w:r>
              <w:rPr>
                <w:rFonts w:hint="eastAsia" w:eastAsiaTheme="minorEastAsia"/>
                <w:szCs w:val="21"/>
                <w:highlight w:val="none"/>
                <w:lang w:val="en-US" w:eastAsia="zh-CN"/>
              </w:rPr>
              <w:t>1</w:t>
            </w:r>
          </w:p>
        </w:tc>
        <w:tc>
          <w:tcPr>
            <w:tcW w:w="684" w:type="dxa"/>
            <w:tcBorders>
              <w:top w:val="single" w:color="auto" w:sz="4" w:space="0"/>
              <w:left w:val="single" w:color="auto" w:sz="4" w:space="0"/>
              <w:bottom w:val="single" w:color="auto" w:sz="4" w:space="0"/>
              <w:right w:val="single" w:color="auto" w:sz="4" w:space="0"/>
            </w:tcBorders>
          </w:tcPr>
          <w:p w14:paraId="08182AD3">
            <w:pPr>
              <w:jc w:val="center"/>
              <w:rPr>
                <w:szCs w:val="21"/>
                <w:highlight w:val="none"/>
              </w:rPr>
            </w:pPr>
            <w:r>
              <w:rPr>
                <w:szCs w:val="21"/>
                <w:highlight w:val="none"/>
              </w:rPr>
              <w:t>6.5</w:t>
            </w:r>
          </w:p>
        </w:tc>
        <w:tc>
          <w:tcPr>
            <w:tcW w:w="684" w:type="dxa"/>
            <w:tcBorders>
              <w:top w:val="single" w:color="auto" w:sz="4" w:space="0"/>
              <w:left w:val="single" w:color="auto" w:sz="4" w:space="0"/>
              <w:bottom w:val="single" w:color="auto" w:sz="4" w:space="0"/>
              <w:right w:val="single" w:color="auto" w:sz="4" w:space="0"/>
            </w:tcBorders>
          </w:tcPr>
          <w:p w14:paraId="222F9DA5">
            <w:pPr>
              <w:jc w:val="center"/>
              <w:rPr>
                <w:szCs w:val="21"/>
                <w:highlight w:val="none"/>
              </w:rPr>
            </w:pPr>
            <w:r>
              <w:rPr>
                <w:szCs w:val="21"/>
                <w:highlight w:val="none"/>
              </w:rPr>
              <w:t>7</w:t>
            </w:r>
          </w:p>
        </w:tc>
        <w:tc>
          <w:tcPr>
            <w:tcW w:w="683" w:type="dxa"/>
            <w:tcBorders>
              <w:top w:val="single" w:color="auto" w:sz="4" w:space="0"/>
              <w:left w:val="single" w:color="auto" w:sz="4" w:space="0"/>
              <w:bottom w:val="single" w:color="auto" w:sz="4" w:space="0"/>
              <w:right w:val="single" w:color="auto" w:sz="4" w:space="0"/>
            </w:tcBorders>
          </w:tcPr>
          <w:p w14:paraId="17BF973D">
            <w:pPr>
              <w:jc w:val="center"/>
              <w:rPr>
                <w:szCs w:val="21"/>
                <w:highlight w:val="none"/>
              </w:rPr>
            </w:pPr>
            <w:r>
              <w:rPr>
                <w:szCs w:val="21"/>
                <w:highlight w:val="none"/>
              </w:rPr>
              <w:t>6.1</w:t>
            </w:r>
          </w:p>
        </w:tc>
        <w:tc>
          <w:tcPr>
            <w:tcW w:w="1807" w:type="dxa"/>
            <w:tcBorders>
              <w:top w:val="single" w:color="auto" w:sz="4" w:space="0"/>
              <w:left w:val="single" w:color="auto" w:sz="4" w:space="0"/>
              <w:bottom w:val="single" w:color="auto" w:sz="4" w:space="0"/>
              <w:right w:val="single" w:color="auto" w:sz="4" w:space="0"/>
            </w:tcBorders>
            <w:vAlign w:val="bottom"/>
          </w:tcPr>
          <w:p w14:paraId="2C19BFE6">
            <w:pPr>
              <w:jc w:val="center"/>
              <w:rPr>
                <w:szCs w:val="21"/>
                <w:highlight w:val="none"/>
              </w:rPr>
            </w:pPr>
            <w:r>
              <w:rPr>
                <w:szCs w:val="21"/>
                <w:highlight w:val="none"/>
              </w:rPr>
              <w:t xml:space="preserve">6.53 </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72E3B1FE">
            <w:pPr>
              <w:jc w:val="center"/>
              <w:rPr>
                <w:rFonts w:eastAsiaTheme="minorEastAsia"/>
                <w:szCs w:val="21"/>
                <w:highlight w:val="none"/>
              </w:rPr>
            </w:pPr>
            <w:r>
              <w:rPr>
                <w:rFonts w:eastAsiaTheme="minorEastAsia"/>
                <w:szCs w:val="21"/>
                <w:highlight w:val="none"/>
              </w:rPr>
              <w:t>6.42</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24305C81">
            <w:pPr>
              <w:jc w:val="center"/>
              <w:rPr>
                <w:rFonts w:eastAsiaTheme="minorEastAsia"/>
                <w:szCs w:val="21"/>
                <w:highlight w:val="none"/>
              </w:rPr>
            </w:pPr>
            <w:r>
              <w:rPr>
                <w:rFonts w:eastAsiaTheme="minorEastAsia"/>
                <w:szCs w:val="21"/>
                <w:highlight w:val="none"/>
              </w:rPr>
              <w:t>0.17</w:t>
            </w:r>
          </w:p>
        </w:tc>
      </w:tr>
      <w:tr w14:paraId="07CA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B43A315">
            <w:pPr>
              <w:widowControl/>
              <w:jc w:val="left"/>
              <w:rPr>
                <w:rFonts w:eastAsiaTheme="minorEastAsia"/>
                <w:szCs w:val="21"/>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14:paraId="6CD44C58">
            <w:pPr>
              <w:jc w:val="center"/>
              <w:rPr>
                <w:rFonts w:eastAsiaTheme="minorEastAsia"/>
                <w:szCs w:val="21"/>
                <w:highlight w:val="none"/>
              </w:rPr>
            </w:pPr>
            <w:r>
              <w:rPr>
                <w:rFonts w:hint="eastAsia" w:eastAsiaTheme="minorEastAsia"/>
                <w:szCs w:val="21"/>
                <w:highlight w:val="none"/>
                <w:lang w:val="en-US" w:eastAsia="zh-CN"/>
              </w:rPr>
              <w:t>2</w:t>
            </w:r>
          </w:p>
        </w:tc>
        <w:tc>
          <w:tcPr>
            <w:tcW w:w="684" w:type="dxa"/>
            <w:tcBorders>
              <w:top w:val="single" w:color="auto" w:sz="4" w:space="0"/>
              <w:left w:val="single" w:color="auto" w:sz="4" w:space="0"/>
              <w:bottom w:val="single" w:color="auto" w:sz="4" w:space="0"/>
              <w:right w:val="single" w:color="auto" w:sz="4" w:space="0"/>
            </w:tcBorders>
          </w:tcPr>
          <w:p w14:paraId="2781C594">
            <w:pPr>
              <w:jc w:val="center"/>
              <w:rPr>
                <w:szCs w:val="21"/>
                <w:highlight w:val="none"/>
              </w:rPr>
            </w:pPr>
            <w:r>
              <w:rPr>
                <w:szCs w:val="21"/>
                <w:highlight w:val="none"/>
              </w:rPr>
              <w:t>6.4</w:t>
            </w:r>
          </w:p>
        </w:tc>
        <w:tc>
          <w:tcPr>
            <w:tcW w:w="684" w:type="dxa"/>
            <w:tcBorders>
              <w:top w:val="single" w:color="auto" w:sz="4" w:space="0"/>
              <w:left w:val="single" w:color="auto" w:sz="4" w:space="0"/>
              <w:bottom w:val="single" w:color="auto" w:sz="4" w:space="0"/>
              <w:right w:val="single" w:color="auto" w:sz="4" w:space="0"/>
            </w:tcBorders>
          </w:tcPr>
          <w:p w14:paraId="3885911D">
            <w:pPr>
              <w:jc w:val="center"/>
              <w:rPr>
                <w:szCs w:val="21"/>
                <w:highlight w:val="none"/>
              </w:rPr>
            </w:pPr>
            <w:r>
              <w:rPr>
                <w:szCs w:val="21"/>
                <w:highlight w:val="none"/>
              </w:rPr>
              <w:t>6.2</w:t>
            </w:r>
          </w:p>
        </w:tc>
        <w:tc>
          <w:tcPr>
            <w:tcW w:w="683" w:type="dxa"/>
            <w:tcBorders>
              <w:top w:val="single" w:color="auto" w:sz="4" w:space="0"/>
              <w:left w:val="single" w:color="auto" w:sz="4" w:space="0"/>
              <w:bottom w:val="single" w:color="auto" w:sz="4" w:space="0"/>
              <w:right w:val="single" w:color="auto" w:sz="4" w:space="0"/>
            </w:tcBorders>
          </w:tcPr>
          <w:p w14:paraId="771CD0E9">
            <w:pPr>
              <w:jc w:val="center"/>
              <w:rPr>
                <w:szCs w:val="21"/>
                <w:highlight w:val="none"/>
              </w:rPr>
            </w:pPr>
            <w:r>
              <w:rPr>
                <w:szCs w:val="21"/>
                <w:highlight w:val="none"/>
              </w:rPr>
              <w:t>6.3</w:t>
            </w:r>
          </w:p>
        </w:tc>
        <w:tc>
          <w:tcPr>
            <w:tcW w:w="1807" w:type="dxa"/>
            <w:tcBorders>
              <w:top w:val="single" w:color="auto" w:sz="4" w:space="0"/>
              <w:left w:val="single" w:color="auto" w:sz="4" w:space="0"/>
              <w:bottom w:val="single" w:color="auto" w:sz="4" w:space="0"/>
              <w:right w:val="single" w:color="auto" w:sz="4" w:space="0"/>
            </w:tcBorders>
            <w:vAlign w:val="bottom"/>
          </w:tcPr>
          <w:p w14:paraId="27877082">
            <w:pPr>
              <w:jc w:val="center"/>
              <w:rPr>
                <w:szCs w:val="21"/>
                <w:highlight w:val="none"/>
              </w:rPr>
            </w:pPr>
            <w:r>
              <w:rPr>
                <w:szCs w:val="21"/>
                <w:highlight w:val="none"/>
              </w:rPr>
              <w:t xml:space="preserve">6.30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1F3FA6E">
            <w:pPr>
              <w:widowControl/>
              <w:jc w:val="left"/>
              <w:rPr>
                <w:rFonts w:eastAsiaTheme="minorEastAsia"/>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DB0136">
            <w:pPr>
              <w:widowControl/>
              <w:jc w:val="left"/>
              <w:rPr>
                <w:rFonts w:eastAsiaTheme="minorEastAsia"/>
                <w:szCs w:val="21"/>
                <w:highlight w:val="none"/>
              </w:rPr>
            </w:pPr>
          </w:p>
        </w:tc>
      </w:tr>
      <w:tr w14:paraId="37D1C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tcBorders>
              <w:top w:val="single" w:color="auto" w:sz="4" w:space="0"/>
              <w:left w:val="single" w:color="auto" w:sz="4" w:space="0"/>
              <w:bottom w:val="single" w:color="auto" w:sz="4" w:space="0"/>
              <w:right w:val="single" w:color="auto" w:sz="4" w:space="0"/>
            </w:tcBorders>
            <w:vAlign w:val="center"/>
          </w:tcPr>
          <w:p w14:paraId="78952023">
            <w:pPr>
              <w:jc w:val="center"/>
              <w:rPr>
                <w:rFonts w:eastAsiaTheme="minorEastAsia"/>
                <w:szCs w:val="21"/>
                <w:highlight w:val="none"/>
              </w:rPr>
            </w:pPr>
            <w:r>
              <w:rPr>
                <w:rFonts w:eastAsiaTheme="minorEastAsia"/>
                <w:szCs w:val="21"/>
                <w:highlight w:val="none"/>
              </w:rPr>
              <w:t>3</w:t>
            </w:r>
          </w:p>
        </w:tc>
        <w:tc>
          <w:tcPr>
            <w:tcW w:w="1208" w:type="dxa"/>
            <w:tcBorders>
              <w:top w:val="single" w:color="auto" w:sz="4" w:space="0"/>
              <w:left w:val="single" w:color="auto" w:sz="4" w:space="0"/>
              <w:bottom w:val="single" w:color="auto" w:sz="4" w:space="0"/>
              <w:right w:val="single" w:color="auto" w:sz="4" w:space="0"/>
            </w:tcBorders>
            <w:vAlign w:val="center"/>
          </w:tcPr>
          <w:p w14:paraId="0BFED22F">
            <w:pPr>
              <w:jc w:val="center"/>
              <w:rPr>
                <w:rFonts w:eastAsiaTheme="minorEastAsia"/>
                <w:szCs w:val="21"/>
                <w:highlight w:val="none"/>
              </w:rPr>
            </w:pPr>
            <w:r>
              <w:rPr>
                <w:rFonts w:hint="eastAsia" w:eastAsiaTheme="minorEastAsia"/>
                <w:szCs w:val="21"/>
                <w:highlight w:val="none"/>
                <w:lang w:val="en-US" w:eastAsia="zh-CN"/>
              </w:rPr>
              <w:t>1</w:t>
            </w:r>
          </w:p>
        </w:tc>
        <w:tc>
          <w:tcPr>
            <w:tcW w:w="684" w:type="dxa"/>
            <w:tcBorders>
              <w:top w:val="single" w:color="auto" w:sz="4" w:space="0"/>
              <w:left w:val="single" w:color="auto" w:sz="4" w:space="0"/>
              <w:bottom w:val="single" w:color="auto" w:sz="4" w:space="0"/>
              <w:right w:val="single" w:color="auto" w:sz="4" w:space="0"/>
            </w:tcBorders>
          </w:tcPr>
          <w:p w14:paraId="49D2051A">
            <w:pPr>
              <w:jc w:val="center"/>
              <w:rPr>
                <w:szCs w:val="21"/>
                <w:highlight w:val="none"/>
              </w:rPr>
            </w:pPr>
            <w:r>
              <w:rPr>
                <w:szCs w:val="21"/>
                <w:highlight w:val="none"/>
              </w:rPr>
              <w:t>6.1</w:t>
            </w:r>
          </w:p>
        </w:tc>
        <w:tc>
          <w:tcPr>
            <w:tcW w:w="684" w:type="dxa"/>
            <w:tcBorders>
              <w:top w:val="single" w:color="auto" w:sz="4" w:space="0"/>
              <w:left w:val="single" w:color="auto" w:sz="4" w:space="0"/>
              <w:bottom w:val="single" w:color="auto" w:sz="4" w:space="0"/>
              <w:right w:val="single" w:color="auto" w:sz="4" w:space="0"/>
            </w:tcBorders>
          </w:tcPr>
          <w:p w14:paraId="191AA0D9">
            <w:pPr>
              <w:jc w:val="center"/>
              <w:rPr>
                <w:szCs w:val="21"/>
                <w:highlight w:val="none"/>
              </w:rPr>
            </w:pPr>
            <w:r>
              <w:rPr>
                <w:szCs w:val="21"/>
                <w:highlight w:val="none"/>
              </w:rPr>
              <w:t>6</w:t>
            </w:r>
          </w:p>
        </w:tc>
        <w:tc>
          <w:tcPr>
            <w:tcW w:w="683" w:type="dxa"/>
            <w:tcBorders>
              <w:top w:val="single" w:color="auto" w:sz="4" w:space="0"/>
              <w:left w:val="single" w:color="auto" w:sz="4" w:space="0"/>
              <w:bottom w:val="single" w:color="auto" w:sz="4" w:space="0"/>
              <w:right w:val="single" w:color="auto" w:sz="4" w:space="0"/>
            </w:tcBorders>
          </w:tcPr>
          <w:p w14:paraId="2D99559D">
            <w:pPr>
              <w:jc w:val="center"/>
              <w:rPr>
                <w:szCs w:val="21"/>
                <w:highlight w:val="none"/>
              </w:rPr>
            </w:pPr>
            <w:r>
              <w:rPr>
                <w:szCs w:val="21"/>
                <w:highlight w:val="none"/>
              </w:rPr>
              <w:t>6.8</w:t>
            </w:r>
          </w:p>
        </w:tc>
        <w:tc>
          <w:tcPr>
            <w:tcW w:w="1807" w:type="dxa"/>
            <w:tcBorders>
              <w:top w:val="single" w:color="auto" w:sz="4" w:space="0"/>
              <w:left w:val="single" w:color="auto" w:sz="4" w:space="0"/>
              <w:bottom w:val="single" w:color="auto" w:sz="4" w:space="0"/>
              <w:right w:val="single" w:color="auto" w:sz="4" w:space="0"/>
            </w:tcBorders>
            <w:vAlign w:val="bottom"/>
          </w:tcPr>
          <w:p w14:paraId="6E762506">
            <w:pPr>
              <w:jc w:val="center"/>
              <w:rPr>
                <w:szCs w:val="21"/>
                <w:highlight w:val="none"/>
              </w:rPr>
            </w:pPr>
            <w:r>
              <w:rPr>
                <w:szCs w:val="21"/>
                <w:highlight w:val="none"/>
              </w:rPr>
              <w:t xml:space="preserve">6.30 </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457751D6">
            <w:pPr>
              <w:jc w:val="center"/>
              <w:rPr>
                <w:rFonts w:eastAsiaTheme="minorEastAsia"/>
                <w:szCs w:val="21"/>
                <w:highlight w:val="none"/>
              </w:rPr>
            </w:pPr>
            <w:r>
              <w:rPr>
                <w:rFonts w:eastAsiaTheme="minorEastAsia"/>
                <w:szCs w:val="21"/>
                <w:highlight w:val="none"/>
              </w:rPr>
              <w:t>6.40</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0D8B65EC">
            <w:pPr>
              <w:jc w:val="center"/>
              <w:rPr>
                <w:rFonts w:eastAsiaTheme="minorEastAsia"/>
                <w:szCs w:val="21"/>
                <w:highlight w:val="none"/>
              </w:rPr>
            </w:pPr>
            <w:r>
              <w:rPr>
                <w:rFonts w:eastAsiaTheme="minorEastAsia"/>
                <w:szCs w:val="21"/>
                <w:highlight w:val="none"/>
              </w:rPr>
              <w:t>0.14</w:t>
            </w:r>
          </w:p>
        </w:tc>
      </w:tr>
      <w:tr w14:paraId="0D0B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5C3BB67">
            <w:pPr>
              <w:widowControl/>
              <w:jc w:val="left"/>
              <w:rPr>
                <w:rFonts w:eastAsiaTheme="minorEastAsia"/>
                <w:szCs w:val="21"/>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14:paraId="40F9229A">
            <w:pPr>
              <w:jc w:val="center"/>
              <w:rPr>
                <w:rFonts w:eastAsiaTheme="minorEastAsia"/>
                <w:szCs w:val="21"/>
                <w:highlight w:val="none"/>
              </w:rPr>
            </w:pPr>
            <w:r>
              <w:rPr>
                <w:rFonts w:hint="eastAsia" w:eastAsiaTheme="minorEastAsia"/>
                <w:szCs w:val="21"/>
                <w:highlight w:val="none"/>
                <w:lang w:val="en-US" w:eastAsia="zh-CN"/>
              </w:rPr>
              <w:t>2</w:t>
            </w:r>
          </w:p>
        </w:tc>
        <w:tc>
          <w:tcPr>
            <w:tcW w:w="684" w:type="dxa"/>
            <w:tcBorders>
              <w:top w:val="single" w:color="auto" w:sz="4" w:space="0"/>
              <w:left w:val="single" w:color="auto" w:sz="4" w:space="0"/>
              <w:bottom w:val="single" w:color="auto" w:sz="4" w:space="0"/>
              <w:right w:val="single" w:color="auto" w:sz="4" w:space="0"/>
            </w:tcBorders>
          </w:tcPr>
          <w:p w14:paraId="30B15306">
            <w:pPr>
              <w:jc w:val="center"/>
              <w:rPr>
                <w:szCs w:val="21"/>
                <w:highlight w:val="none"/>
              </w:rPr>
            </w:pPr>
            <w:r>
              <w:rPr>
                <w:szCs w:val="21"/>
                <w:highlight w:val="none"/>
              </w:rPr>
              <w:t>6.3</w:t>
            </w:r>
          </w:p>
        </w:tc>
        <w:tc>
          <w:tcPr>
            <w:tcW w:w="684" w:type="dxa"/>
            <w:tcBorders>
              <w:top w:val="single" w:color="auto" w:sz="4" w:space="0"/>
              <w:left w:val="single" w:color="auto" w:sz="4" w:space="0"/>
              <w:bottom w:val="single" w:color="auto" w:sz="4" w:space="0"/>
              <w:right w:val="single" w:color="auto" w:sz="4" w:space="0"/>
            </w:tcBorders>
          </w:tcPr>
          <w:p w14:paraId="1DCAE84B">
            <w:pPr>
              <w:jc w:val="center"/>
              <w:rPr>
                <w:szCs w:val="21"/>
                <w:highlight w:val="none"/>
              </w:rPr>
            </w:pPr>
            <w:r>
              <w:rPr>
                <w:szCs w:val="21"/>
                <w:highlight w:val="none"/>
              </w:rPr>
              <w:t>6.2</w:t>
            </w:r>
          </w:p>
        </w:tc>
        <w:tc>
          <w:tcPr>
            <w:tcW w:w="683" w:type="dxa"/>
            <w:tcBorders>
              <w:top w:val="single" w:color="auto" w:sz="4" w:space="0"/>
              <w:left w:val="single" w:color="auto" w:sz="4" w:space="0"/>
              <w:bottom w:val="single" w:color="auto" w:sz="4" w:space="0"/>
              <w:right w:val="single" w:color="auto" w:sz="4" w:space="0"/>
            </w:tcBorders>
          </w:tcPr>
          <w:p w14:paraId="0C3E5A4B">
            <w:pPr>
              <w:jc w:val="center"/>
              <w:rPr>
                <w:szCs w:val="21"/>
                <w:highlight w:val="none"/>
              </w:rPr>
            </w:pPr>
            <w:r>
              <w:rPr>
                <w:szCs w:val="21"/>
                <w:highlight w:val="none"/>
              </w:rPr>
              <w:t>7</w:t>
            </w:r>
          </w:p>
        </w:tc>
        <w:tc>
          <w:tcPr>
            <w:tcW w:w="1807" w:type="dxa"/>
            <w:tcBorders>
              <w:top w:val="single" w:color="auto" w:sz="4" w:space="0"/>
              <w:left w:val="single" w:color="auto" w:sz="4" w:space="0"/>
              <w:bottom w:val="single" w:color="auto" w:sz="4" w:space="0"/>
              <w:right w:val="single" w:color="auto" w:sz="4" w:space="0"/>
            </w:tcBorders>
            <w:vAlign w:val="bottom"/>
          </w:tcPr>
          <w:p w14:paraId="4F1AA8F1">
            <w:pPr>
              <w:jc w:val="center"/>
              <w:rPr>
                <w:szCs w:val="21"/>
                <w:highlight w:val="none"/>
              </w:rPr>
            </w:pPr>
            <w:r>
              <w:rPr>
                <w:szCs w:val="21"/>
                <w:highlight w:val="none"/>
              </w:rPr>
              <w:t xml:space="preserve">6.50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CCFFA25">
            <w:pPr>
              <w:widowControl/>
              <w:jc w:val="left"/>
              <w:rPr>
                <w:rFonts w:eastAsiaTheme="minorEastAsia"/>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BC3A0D">
            <w:pPr>
              <w:widowControl/>
              <w:jc w:val="left"/>
              <w:rPr>
                <w:rFonts w:eastAsiaTheme="minorEastAsia"/>
                <w:szCs w:val="21"/>
                <w:highlight w:val="none"/>
              </w:rPr>
            </w:pPr>
          </w:p>
        </w:tc>
      </w:tr>
      <w:tr w14:paraId="107B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tcBorders>
              <w:top w:val="single" w:color="auto" w:sz="4" w:space="0"/>
              <w:left w:val="single" w:color="auto" w:sz="4" w:space="0"/>
              <w:bottom w:val="single" w:color="auto" w:sz="4" w:space="0"/>
              <w:right w:val="single" w:color="auto" w:sz="4" w:space="0"/>
            </w:tcBorders>
            <w:vAlign w:val="center"/>
          </w:tcPr>
          <w:p w14:paraId="1E516A5D">
            <w:pPr>
              <w:jc w:val="center"/>
              <w:rPr>
                <w:rFonts w:eastAsiaTheme="minorEastAsia"/>
                <w:szCs w:val="21"/>
                <w:highlight w:val="none"/>
              </w:rPr>
            </w:pPr>
            <w:r>
              <w:rPr>
                <w:rFonts w:eastAsiaTheme="minorEastAsia"/>
                <w:szCs w:val="21"/>
                <w:highlight w:val="none"/>
              </w:rPr>
              <w:t>4</w:t>
            </w:r>
          </w:p>
        </w:tc>
        <w:tc>
          <w:tcPr>
            <w:tcW w:w="1208" w:type="dxa"/>
            <w:tcBorders>
              <w:top w:val="single" w:color="auto" w:sz="4" w:space="0"/>
              <w:left w:val="single" w:color="auto" w:sz="4" w:space="0"/>
              <w:bottom w:val="single" w:color="auto" w:sz="4" w:space="0"/>
              <w:right w:val="single" w:color="auto" w:sz="4" w:space="0"/>
            </w:tcBorders>
            <w:vAlign w:val="center"/>
          </w:tcPr>
          <w:p w14:paraId="346A2783">
            <w:pPr>
              <w:jc w:val="center"/>
              <w:rPr>
                <w:rFonts w:eastAsiaTheme="minorEastAsia"/>
                <w:szCs w:val="21"/>
                <w:highlight w:val="none"/>
              </w:rPr>
            </w:pPr>
            <w:r>
              <w:rPr>
                <w:rFonts w:hint="eastAsia" w:eastAsiaTheme="minorEastAsia"/>
                <w:szCs w:val="21"/>
                <w:highlight w:val="none"/>
                <w:lang w:val="en-US" w:eastAsia="zh-CN"/>
              </w:rPr>
              <w:t>1</w:t>
            </w:r>
          </w:p>
        </w:tc>
        <w:tc>
          <w:tcPr>
            <w:tcW w:w="684" w:type="dxa"/>
            <w:tcBorders>
              <w:top w:val="single" w:color="auto" w:sz="4" w:space="0"/>
              <w:left w:val="single" w:color="auto" w:sz="4" w:space="0"/>
              <w:bottom w:val="single" w:color="auto" w:sz="4" w:space="0"/>
              <w:right w:val="single" w:color="auto" w:sz="4" w:space="0"/>
            </w:tcBorders>
          </w:tcPr>
          <w:p w14:paraId="677A8921">
            <w:pPr>
              <w:jc w:val="center"/>
              <w:rPr>
                <w:szCs w:val="21"/>
                <w:highlight w:val="none"/>
              </w:rPr>
            </w:pPr>
            <w:r>
              <w:rPr>
                <w:szCs w:val="21"/>
                <w:highlight w:val="none"/>
              </w:rPr>
              <w:t>5.4</w:t>
            </w:r>
          </w:p>
        </w:tc>
        <w:tc>
          <w:tcPr>
            <w:tcW w:w="684" w:type="dxa"/>
            <w:tcBorders>
              <w:top w:val="single" w:color="auto" w:sz="4" w:space="0"/>
              <w:left w:val="single" w:color="auto" w:sz="4" w:space="0"/>
              <w:bottom w:val="single" w:color="auto" w:sz="4" w:space="0"/>
              <w:right w:val="single" w:color="auto" w:sz="4" w:space="0"/>
            </w:tcBorders>
          </w:tcPr>
          <w:p w14:paraId="62EBAE33">
            <w:pPr>
              <w:jc w:val="center"/>
              <w:rPr>
                <w:szCs w:val="21"/>
                <w:highlight w:val="none"/>
              </w:rPr>
            </w:pPr>
            <w:r>
              <w:rPr>
                <w:szCs w:val="21"/>
                <w:highlight w:val="none"/>
              </w:rPr>
              <w:t>5.6</w:t>
            </w:r>
          </w:p>
        </w:tc>
        <w:tc>
          <w:tcPr>
            <w:tcW w:w="683" w:type="dxa"/>
            <w:tcBorders>
              <w:top w:val="single" w:color="auto" w:sz="4" w:space="0"/>
              <w:left w:val="single" w:color="auto" w:sz="4" w:space="0"/>
              <w:bottom w:val="single" w:color="auto" w:sz="4" w:space="0"/>
              <w:right w:val="single" w:color="auto" w:sz="4" w:space="0"/>
            </w:tcBorders>
          </w:tcPr>
          <w:p w14:paraId="0686B3FF">
            <w:pPr>
              <w:jc w:val="center"/>
              <w:rPr>
                <w:szCs w:val="21"/>
                <w:highlight w:val="none"/>
              </w:rPr>
            </w:pPr>
            <w:r>
              <w:rPr>
                <w:szCs w:val="21"/>
                <w:highlight w:val="none"/>
              </w:rPr>
              <w:t>5.6</w:t>
            </w:r>
          </w:p>
        </w:tc>
        <w:tc>
          <w:tcPr>
            <w:tcW w:w="1807" w:type="dxa"/>
            <w:tcBorders>
              <w:top w:val="single" w:color="auto" w:sz="4" w:space="0"/>
              <w:left w:val="single" w:color="auto" w:sz="4" w:space="0"/>
              <w:bottom w:val="single" w:color="auto" w:sz="4" w:space="0"/>
              <w:right w:val="single" w:color="auto" w:sz="4" w:space="0"/>
            </w:tcBorders>
            <w:vAlign w:val="bottom"/>
          </w:tcPr>
          <w:p w14:paraId="78B3EC77">
            <w:pPr>
              <w:jc w:val="center"/>
              <w:rPr>
                <w:szCs w:val="21"/>
                <w:highlight w:val="none"/>
              </w:rPr>
            </w:pPr>
            <w:r>
              <w:rPr>
                <w:szCs w:val="21"/>
                <w:highlight w:val="none"/>
              </w:rPr>
              <w:t xml:space="preserve">5.53 </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29837F3A">
            <w:pPr>
              <w:jc w:val="center"/>
              <w:rPr>
                <w:rFonts w:eastAsiaTheme="minorEastAsia"/>
                <w:szCs w:val="21"/>
                <w:highlight w:val="none"/>
              </w:rPr>
            </w:pPr>
            <w:r>
              <w:rPr>
                <w:rFonts w:eastAsiaTheme="minorEastAsia"/>
                <w:szCs w:val="21"/>
                <w:highlight w:val="none"/>
              </w:rPr>
              <w:t>5.57</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34B4A06C">
            <w:pPr>
              <w:jc w:val="center"/>
              <w:rPr>
                <w:rFonts w:eastAsiaTheme="minorEastAsia"/>
                <w:szCs w:val="21"/>
                <w:highlight w:val="none"/>
              </w:rPr>
            </w:pPr>
            <w:r>
              <w:rPr>
                <w:rFonts w:eastAsiaTheme="minorEastAsia"/>
                <w:szCs w:val="21"/>
                <w:highlight w:val="none"/>
              </w:rPr>
              <w:t>0.05</w:t>
            </w:r>
          </w:p>
        </w:tc>
      </w:tr>
      <w:tr w14:paraId="0576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06AA97F">
            <w:pPr>
              <w:widowControl/>
              <w:jc w:val="left"/>
              <w:rPr>
                <w:rFonts w:eastAsiaTheme="minorEastAsia"/>
                <w:szCs w:val="21"/>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14:paraId="76F544A6">
            <w:pPr>
              <w:jc w:val="center"/>
              <w:rPr>
                <w:rFonts w:eastAsiaTheme="minorEastAsia"/>
                <w:szCs w:val="21"/>
                <w:highlight w:val="none"/>
              </w:rPr>
            </w:pPr>
            <w:r>
              <w:rPr>
                <w:rFonts w:hint="eastAsia" w:eastAsiaTheme="minorEastAsia"/>
                <w:szCs w:val="21"/>
                <w:highlight w:val="none"/>
                <w:lang w:val="en-US" w:eastAsia="zh-CN"/>
              </w:rPr>
              <w:t>2</w:t>
            </w:r>
          </w:p>
        </w:tc>
        <w:tc>
          <w:tcPr>
            <w:tcW w:w="684" w:type="dxa"/>
            <w:tcBorders>
              <w:top w:val="single" w:color="auto" w:sz="4" w:space="0"/>
              <w:left w:val="single" w:color="auto" w:sz="4" w:space="0"/>
              <w:bottom w:val="single" w:color="auto" w:sz="4" w:space="0"/>
              <w:right w:val="single" w:color="auto" w:sz="4" w:space="0"/>
            </w:tcBorders>
          </w:tcPr>
          <w:p w14:paraId="3A579A80">
            <w:pPr>
              <w:jc w:val="center"/>
              <w:rPr>
                <w:szCs w:val="21"/>
                <w:highlight w:val="none"/>
              </w:rPr>
            </w:pPr>
            <w:r>
              <w:rPr>
                <w:szCs w:val="21"/>
                <w:highlight w:val="none"/>
              </w:rPr>
              <w:t>5.5</w:t>
            </w:r>
          </w:p>
        </w:tc>
        <w:tc>
          <w:tcPr>
            <w:tcW w:w="684" w:type="dxa"/>
            <w:tcBorders>
              <w:top w:val="single" w:color="auto" w:sz="4" w:space="0"/>
              <w:left w:val="single" w:color="auto" w:sz="4" w:space="0"/>
              <w:bottom w:val="single" w:color="auto" w:sz="4" w:space="0"/>
              <w:right w:val="single" w:color="auto" w:sz="4" w:space="0"/>
            </w:tcBorders>
          </w:tcPr>
          <w:p w14:paraId="4DCF06A0">
            <w:pPr>
              <w:jc w:val="center"/>
              <w:rPr>
                <w:szCs w:val="21"/>
                <w:highlight w:val="none"/>
              </w:rPr>
            </w:pPr>
            <w:r>
              <w:rPr>
                <w:szCs w:val="21"/>
                <w:highlight w:val="none"/>
              </w:rPr>
              <w:t>5.7</w:t>
            </w:r>
          </w:p>
        </w:tc>
        <w:tc>
          <w:tcPr>
            <w:tcW w:w="683" w:type="dxa"/>
            <w:tcBorders>
              <w:top w:val="single" w:color="auto" w:sz="4" w:space="0"/>
              <w:left w:val="single" w:color="auto" w:sz="4" w:space="0"/>
              <w:bottom w:val="single" w:color="auto" w:sz="4" w:space="0"/>
              <w:right w:val="single" w:color="auto" w:sz="4" w:space="0"/>
            </w:tcBorders>
          </w:tcPr>
          <w:p w14:paraId="1A3E1812">
            <w:pPr>
              <w:jc w:val="center"/>
              <w:rPr>
                <w:szCs w:val="21"/>
                <w:highlight w:val="none"/>
              </w:rPr>
            </w:pPr>
            <w:r>
              <w:rPr>
                <w:szCs w:val="21"/>
                <w:highlight w:val="none"/>
              </w:rPr>
              <w:t>5.6</w:t>
            </w:r>
          </w:p>
        </w:tc>
        <w:tc>
          <w:tcPr>
            <w:tcW w:w="1807" w:type="dxa"/>
            <w:tcBorders>
              <w:top w:val="single" w:color="auto" w:sz="4" w:space="0"/>
              <w:left w:val="single" w:color="auto" w:sz="4" w:space="0"/>
              <w:bottom w:val="single" w:color="auto" w:sz="4" w:space="0"/>
              <w:right w:val="single" w:color="auto" w:sz="4" w:space="0"/>
            </w:tcBorders>
            <w:vAlign w:val="bottom"/>
          </w:tcPr>
          <w:p w14:paraId="5B2E2C40">
            <w:pPr>
              <w:jc w:val="center"/>
              <w:rPr>
                <w:szCs w:val="21"/>
                <w:highlight w:val="none"/>
              </w:rPr>
            </w:pPr>
            <w:r>
              <w:rPr>
                <w:szCs w:val="21"/>
                <w:highlight w:val="none"/>
              </w:rPr>
              <w:t xml:space="preserve">5.60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64788E">
            <w:pPr>
              <w:widowControl/>
              <w:jc w:val="left"/>
              <w:rPr>
                <w:rFonts w:eastAsiaTheme="minorEastAsia"/>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A71A93D">
            <w:pPr>
              <w:widowControl/>
              <w:jc w:val="left"/>
              <w:rPr>
                <w:rFonts w:eastAsiaTheme="minorEastAsia"/>
                <w:szCs w:val="21"/>
                <w:highlight w:val="none"/>
              </w:rPr>
            </w:pPr>
          </w:p>
        </w:tc>
      </w:tr>
      <w:tr w14:paraId="4BFC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tcBorders>
              <w:top w:val="single" w:color="auto" w:sz="4" w:space="0"/>
              <w:left w:val="single" w:color="auto" w:sz="4" w:space="0"/>
              <w:bottom w:val="single" w:color="auto" w:sz="4" w:space="0"/>
              <w:right w:val="single" w:color="auto" w:sz="4" w:space="0"/>
            </w:tcBorders>
            <w:vAlign w:val="center"/>
          </w:tcPr>
          <w:p w14:paraId="2CEE4413">
            <w:pPr>
              <w:jc w:val="center"/>
              <w:rPr>
                <w:rFonts w:eastAsiaTheme="minorEastAsia"/>
                <w:szCs w:val="21"/>
                <w:highlight w:val="none"/>
              </w:rPr>
            </w:pPr>
            <w:r>
              <w:rPr>
                <w:rFonts w:eastAsiaTheme="minorEastAsia"/>
                <w:szCs w:val="21"/>
                <w:highlight w:val="none"/>
              </w:rPr>
              <w:t>6</w:t>
            </w:r>
          </w:p>
        </w:tc>
        <w:tc>
          <w:tcPr>
            <w:tcW w:w="1208" w:type="dxa"/>
            <w:tcBorders>
              <w:top w:val="single" w:color="auto" w:sz="4" w:space="0"/>
              <w:left w:val="single" w:color="auto" w:sz="4" w:space="0"/>
              <w:bottom w:val="single" w:color="auto" w:sz="4" w:space="0"/>
              <w:right w:val="single" w:color="auto" w:sz="4" w:space="0"/>
            </w:tcBorders>
            <w:vAlign w:val="center"/>
          </w:tcPr>
          <w:p w14:paraId="4BB656EE">
            <w:pPr>
              <w:jc w:val="center"/>
              <w:rPr>
                <w:rFonts w:eastAsiaTheme="minorEastAsia"/>
                <w:szCs w:val="21"/>
                <w:highlight w:val="none"/>
              </w:rPr>
            </w:pPr>
            <w:r>
              <w:rPr>
                <w:rFonts w:hint="eastAsia" w:eastAsiaTheme="minorEastAsia"/>
                <w:szCs w:val="21"/>
                <w:highlight w:val="none"/>
                <w:lang w:val="en-US" w:eastAsia="zh-CN"/>
              </w:rPr>
              <w:t>1</w:t>
            </w:r>
          </w:p>
        </w:tc>
        <w:tc>
          <w:tcPr>
            <w:tcW w:w="684" w:type="dxa"/>
            <w:tcBorders>
              <w:top w:val="single" w:color="auto" w:sz="4" w:space="0"/>
              <w:left w:val="single" w:color="auto" w:sz="4" w:space="0"/>
              <w:bottom w:val="single" w:color="auto" w:sz="4" w:space="0"/>
              <w:right w:val="single" w:color="auto" w:sz="4" w:space="0"/>
            </w:tcBorders>
            <w:vAlign w:val="center"/>
          </w:tcPr>
          <w:p w14:paraId="2D31D3FC">
            <w:pPr>
              <w:jc w:val="center"/>
              <w:rPr>
                <w:szCs w:val="21"/>
                <w:highlight w:val="none"/>
              </w:rPr>
            </w:pPr>
            <w:r>
              <w:rPr>
                <w:szCs w:val="21"/>
                <w:highlight w:val="none"/>
              </w:rPr>
              <w:t>5.5</w:t>
            </w:r>
          </w:p>
        </w:tc>
        <w:tc>
          <w:tcPr>
            <w:tcW w:w="684" w:type="dxa"/>
            <w:tcBorders>
              <w:top w:val="single" w:color="auto" w:sz="4" w:space="0"/>
              <w:left w:val="single" w:color="auto" w:sz="4" w:space="0"/>
              <w:bottom w:val="single" w:color="auto" w:sz="4" w:space="0"/>
              <w:right w:val="single" w:color="auto" w:sz="4" w:space="0"/>
            </w:tcBorders>
            <w:vAlign w:val="center"/>
          </w:tcPr>
          <w:p w14:paraId="6B9E371F">
            <w:pPr>
              <w:jc w:val="center"/>
              <w:rPr>
                <w:szCs w:val="21"/>
                <w:highlight w:val="none"/>
              </w:rPr>
            </w:pPr>
            <w:r>
              <w:rPr>
                <w:szCs w:val="21"/>
                <w:highlight w:val="none"/>
              </w:rPr>
              <w:t>5.4</w:t>
            </w:r>
          </w:p>
        </w:tc>
        <w:tc>
          <w:tcPr>
            <w:tcW w:w="683" w:type="dxa"/>
            <w:tcBorders>
              <w:top w:val="single" w:color="auto" w:sz="4" w:space="0"/>
              <w:left w:val="single" w:color="auto" w:sz="4" w:space="0"/>
              <w:bottom w:val="single" w:color="auto" w:sz="4" w:space="0"/>
              <w:right w:val="single" w:color="auto" w:sz="4" w:space="0"/>
            </w:tcBorders>
            <w:vAlign w:val="center"/>
          </w:tcPr>
          <w:p w14:paraId="2FB59287">
            <w:pPr>
              <w:jc w:val="center"/>
              <w:rPr>
                <w:szCs w:val="21"/>
                <w:highlight w:val="none"/>
              </w:rPr>
            </w:pPr>
            <w:r>
              <w:rPr>
                <w:szCs w:val="21"/>
                <w:highlight w:val="none"/>
              </w:rPr>
              <w:t>5.4</w:t>
            </w:r>
          </w:p>
        </w:tc>
        <w:tc>
          <w:tcPr>
            <w:tcW w:w="1807" w:type="dxa"/>
            <w:tcBorders>
              <w:top w:val="single" w:color="auto" w:sz="4" w:space="0"/>
              <w:left w:val="single" w:color="auto" w:sz="4" w:space="0"/>
              <w:bottom w:val="single" w:color="auto" w:sz="4" w:space="0"/>
              <w:right w:val="single" w:color="auto" w:sz="4" w:space="0"/>
            </w:tcBorders>
            <w:vAlign w:val="bottom"/>
          </w:tcPr>
          <w:p w14:paraId="63C31F08">
            <w:pPr>
              <w:jc w:val="center"/>
              <w:rPr>
                <w:szCs w:val="21"/>
                <w:highlight w:val="none"/>
              </w:rPr>
            </w:pPr>
            <w:r>
              <w:rPr>
                <w:szCs w:val="21"/>
                <w:highlight w:val="none"/>
              </w:rPr>
              <w:t xml:space="preserve">5.43 </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4F8A5584">
            <w:pPr>
              <w:jc w:val="center"/>
              <w:rPr>
                <w:rFonts w:eastAsiaTheme="minorEastAsia"/>
                <w:szCs w:val="21"/>
                <w:highlight w:val="none"/>
              </w:rPr>
            </w:pPr>
            <w:r>
              <w:rPr>
                <w:rFonts w:hint="eastAsia" w:eastAsiaTheme="minorEastAsia"/>
                <w:szCs w:val="21"/>
                <w:highlight w:val="none"/>
              </w:rPr>
              <w:t>5.4</w:t>
            </w:r>
            <w:r>
              <w:rPr>
                <w:rFonts w:eastAsiaTheme="minorEastAsia"/>
                <w:szCs w:val="21"/>
                <w:highlight w:val="none"/>
              </w:rPr>
              <w:t>3</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08FF7A1B">
            <w:pPr>
              <w:jc w:val="center"/>
              <w:rPr>
                <w:rFonts w:eastAsiaTheme="minorEastAsia"/>
                <w:szCs w:val="21"/>
                <w:highlight w:val="none"/>
              </w:rPr>
            </w:pPr>
            <w:r>
              <w:rPr>
                <w:rFonts w:eastAsiaTheme="minorEastAsia"/>
                <w:szCs w:val="21"/>
                <w:highlight w:val="none"/>
              </w:rPr>
              <w:t>0.00</w:t>
            </w:r>
          </w:p>
        </w:tc>
      </w:tr>
      <w:tr w14:paraId="6140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8F21F2">
            <w:pPr>
              <w:widowControl/>
              <w:jc w:val="left"/>
              <w:rPr>
                <w:rFonts w:eastAsiaTheme="minorEastAsia"/>
                <w:szCs w:val="21"/>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14:paraId="74160A0B">
            <w:pPr>
              <w:jc w:val="center"/>
              <w:rPr>
                <w:rFonts w:eastAsiaTheme="minorEastAsia"/>
                <w:szCs w:val="21"/>
                <w:highlight w:val="none"/>
              </w:rPr>
            </w:pPr>
            <w:r>
              <w:rPr>
                <w:rFonts w:hint="eastAsia" w:eastAsiaTheme="minorEastAsia"/>
                <w:szCs w:val="21"/>
                <w:highlight w:val="none"/>
                <w:lang w:val="en-US" w:eastAsia="zh-CN"/>
              </w:rPr>
              <w:t>2</w:t>
            </w:r>
          </w:p>
        </w:tc>
        <w:tc>
          <w:tcPr>
            <w:tcW w:w="684" w:type="dxa"/>
            <w:tcBorders>
              <w:top w:val="single" w:color="auto" w:sz="4" w:space="0"/>
              <w:left w:val="single" w:color="auto" w:sz="4" w:space="0"/>
              <w:bottom w:val="single" w:color="auto" w:sz="4" w:space="0"/>
              <w:right w:val="single" w:color="auto" w:sz="4" w:space="0"/>
            </w:tcBorders>
            <w:vAlign w:val="center"/>
          </w:tcPr>
          <w:p w14:paraId="0C8C2CA1">
            <w:pPr>
              <w:jc w:val="center"/>
              <w:rPr>
                <w:szCs w:val="21"/>
                <w:highlight w:val="none"/>
              </w:rPr>
            </w:pPr>
            <w:r>
              <w:rPr>
                <w:szCs w:val="21"/>
                <w:highlight w:val="none"/>
              </w:rPr>
              <w:t>5.3</w:t>
            </w:r>
          </w:p>
        </w:tc>
        <w:tc>
          <w:tcPr>
            <w:tcW w:w="684" w:type="dxa"/>
            <w:tcBorders>
              <w:top w:val="single" w:color="auto" w:sz="4" w:space="0"/>
              <w:left w:val="single" w:color="auto" w:sz="4" w:space="0"/>
              <w:bottom w:val="single" w:color="auto" w:sz="4" w:space="0"/>
              <w:right w:val="single" w:color="auto" w:sz="4" w:space="0"/>
            </w:tcBorders>
            <w:vAlign w:val="center"/>
          </w:tcPr>
          <w:p w14:paraId="7898CDDD">
            <w:pPr>
              <w:jc w:val="center"/>
              <w:rPr>
                <w:szCs w:val="21"/>
                <w:highlight w:val="none"/>
              </w:rPr>
            </w:pPr>
            <w:r>
              <w:rPr>
                <w:szCs w:val="21"/>
                <w:highlight w:val="none"/>
              </w:rPr>
              <w:t>5.5</w:t>
            </w:r>
          </w:p>
        </w:tc>
        <w:tc>
          <w:tcPr>
            <w:tcW w:w="683" w:type="dxa"/>
            <w:tcBorders>
              <w:top w:val="single" w:color="auto" w:sz="4" w:space="0"/>
              <w:left w:val="single" w:color="auto" w:sz="4" w:space="0"/>
              <w:bottom w:val="single" w:color="auto" w:sz="4" w:space="0"/>
              <w:right w:val="single" w:color="auto" w:sz="4" w:space="0"/>
            </w:tcBorders>
            <w:vAlign w:val="center"/>
          </w:tcPr>
          <w:p w14:paraId="191E8C07">
            <w:pPr>
              <w:jc w:val="center"/>
              <w:rPr>
                <w:szCs w:val="21"/>
                <w:highlight w:val="none"/>
              </w:rPr>
            </w:pPr>
            <w:r>
              <w:rPr>
                <w:szCs w:val="21"/>
                <w:highlight w:val="none"/>
              </w:rPr>
              <w:t>5.5</w:t>
            </w:r>
          </w:p>
        </w:tc>
        <w:tc>
          <w:tcPr>
            <w:tcW w:w="1807" w:type="dxa"/>
            <w:tcBorders>
              <w:top w:val="single" w:color="auto" w:sz="4" w:space="0"/>
              <w:left w:val="single" w:color="auto" w:sz="4" w:space="0"/>
              <w:bottom w:val="single" w:color="auto" w:sz="4" w:space="0"/>
              <w:right w:val="single" w:color="auto" w:sz="4" w:space="0"/>
            </w:tcBorders>
            <w:vAlign w:val="bottom"/>
          </w:tcPr>
          <w:p w14:paraId="43EE9BDE">
            <w:pPr>
              <w:jc w:val="center"/>
              <w:rPr>
                <w:szCs w:val="21"/>
                <w:highlight w:val="none"/>
              </w:rPr>
            </w:pPr>
            <w:r>
              <w:rPr>
                <w:szCs w:val="21"/>
                <w:highlight w:val="none"/>
              </w:rPr>
              <w:t xml:space="preserve">5.43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DE7DBF">
            <w:pPr>
              <w:widowControl/>
              <w:jc w:val="left"/>
              <w:rPr>
                <w:rFonts w:eastAsiaTheme="minorEastAsia"/>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98AEA04">
            <w:pPr>
              <w:widowControl/>
              <w:jc w:val="left"/>
              <w:rPr>
                <w:rFonts w:eastAsiaTheme="minorEastAsia"/>
                <w:szCs w:val="21"/>
                <w:highlight w:val="none"/>
              </w:rPr>
            </w:pPr>
          </w:p>
        </w:tc>
      </w:tr>
      <w:tr w14:paraId="40A34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8" w:type="dxa"/>
            <w:vMerge w:val="restart"/>
            <w:tcBorders>
              <w:top w:val="single" w:color="auto" w:sz="4" w:space="0"/>
              <w:left w:val="single" w:color="auto" w:sz="4" w:space="0"/>
              <w:bottom w:val="single" w:color="auto" w:sz="4" w:space="0"/>
              <w:right w:val="single" w:color="auto" w:sz="4" w:space="0"/>
            </w:tcBorders>
            <w:vAlign w:val="center"/>
          </w:tcPr>
          <w:p w14:paraId="04C6030C">
            <w:pPr>
              <w:jc w:val="center"/>
              <w:rPr>
                <w:rFonts w:eastAsiaTheme="minorEastAsia"/>
                <w:szCs w:val="21"/>
                <w:highlight w:val="none"/>
              </w:rPr>
            </w:pPr>
            <w:r>
              <w:rPr>
                <w:rFonts w:eastAsiaTheme="minorEastAsia"/>
                <w:szCs w:val="21"/>
                <w:highlight w:val="none"/>
              </w:rPr>
              <w:t>7</w:t>
            </w:r>
          </w:p>
        </w:tc>
        <w:tc>
          <w:tcPr>
            <w:tcW w:w="1208" w:type="dxa"/>
            <w:tcBorders>
              <w:top w:val="single" w:color="auto" w:sz="4" w:space="0"/>
              <w:left w:val="single" w:color="auto" w:sz="4" w:space="0"/>
              <w:bottom w:val="single" w:color="auto" w:sz="4" w:space="0"/>
              <w:right w:val="single" w:color="auto" w:sz="4" w:space="0"/>
            </w:tcBorders>
            <w:vAlign w:val="center"/>
          </w:tcPr>
          <w:p w14:paraId="3B6F8BD2">
            <w:pPr>
              <w:jc w:val="center"/>
              <w:rPr>
                <w:rFonts w:eastAsiaTheme="minorEastAsia"/>
                <w:szCs w:val="21"/>
                <w:highlight w:val="none"/>
              </w:rPr>
            </w:pPr>
            <w:r>
              <w:rPr>
                <w:rFonts w:hint="eastAsia" w:eastAsiaTheme="minorEastAsia"/>
                <w:szCs w:val="21"/>
                <w:highlight w:val="none"/>
                <w:lang w:val="en-US" w:eastAsia="zh-CN"/>
              </w:rPr>
              <w:t>1</w:t>
            </w:r>
          </w:p>
        </w:tc>
        <w:tc>
          <w:tcPr>
            <w:tcW w:w="684" w:type="dxa"/>
            <w:tcBorders>
              <w:top w:val="single" w:color="auto" w:sz="4" w:space="0"/>
              <w:left w:val="single" w:color="auto" w:sz="4" w:space="0"/>
              <w:bottom w:val="single" w:color="auto" w:sz="4" w:space="0"/>
              <w:right w:val="single" w:color="auto" w:sz="4" w:space="0"/>
            </w:tcBorders>
          </w:tcPr>
          <w:p w14:paraId="4153D46D">
            <w:pPr>
              <w:jc w:val="center"/>
              <w:rPr>
                <w:szCs w:val="21"/>
                <w:highlight w:val="none"/>
              </w:rPr>
            </w:pPr>
            <w:r>
              <w:rPr>
                <w:szCs w:val="21"/>
                <w:highlight w:val="none"/>
              </w:rPr>
              <w:t>6.1</w:t>
            </w:r>
          </w:p>
        </w:tc>
        <w:tc>
          <w:tcPr>
            <w:tcW w:w="684" w:type="dxa"/>
            <w:tcBorders>
              <w:top w:val="single" w:color="auto" w:sz="4" w:space="0"/>
              <w:left w:val="single" w:color="auto" w:sz="4" w:space="0"/>
              <w:bottom w:val="single" w:color="auto" w:sz="4" w:space="0"/>
              <w:right w:val="single" w:color="auto" w:sz="4" w:space="0"/>
            </w:tcBorders>
          </w:tcPr>
          <w:p w14:paraId="48092AF8">
            <w:pPr>
              <w:jc w:val="center"/>
              <w:rPr>
                <w:szCs w:val="21"/>
                <w:highlight w:val="none"/>
              </w:rPr>
            </w:pPr>
            <w:r>
              <w:rPr>
                <w:szCs w:val="21"/>
                <w:highlight w:val="none"/>
              </w:rPr>
              <w:t>6.2</w:t>
            </w:r>
          </w:p>
        </w:tc>
        <w:tc>
          <w:tcPr>
            <w:tcW w:w="683" w:type="dxa"/>
            <w:tcBorders>
              <w:top w:val="single" w:color="auto" w:sz="4" w:space="0"/>
              <w:left w:val="single" w:color="auto" w:sz="4" w:space="0"/>
              <w:bottom w:val="single" w:color="auto" w:sz="4" w:space="0"/>
              <w:right w:val="single" w:color="auto" w:sz="4" w:space="0"/>
            </w:tcBorders>
          </w:tcPr>
          <w:p w14:paraId="22C24FFA">
            <w:pPr>
              <w:jc w:val="center"/>
              <w:rPr>
                <w:szCs w:val="21"/>
                <w:highlight w:val="none"/>
              </w:rPr>
            </w:pPr>
            <w:r>
              <w:rPr>
                <w:szCs w:val="21"/>
                <w:highlight w:val="none"/>
              </w:rPr>
              <w:t>6.1</w:t>
            </w:r>
          </w:p>
        </w:tc>
        <w:tc>
          <w:tcPr>
            <w:tcW w:w="1807" w:type="dxa"/>
            <w:tcBorders>
              <w:top w:val="single" w:color="auto" w:sz="4" w:space="0"/>
              <w:left w:val="single" w:color="auto" w:sz="4" w:space="0"/>
              <w:bottom w:val="single" w:color="auto" w:sz="4" w:space="0"/>
              <w:right w:val="single" w:color="auto" w:sz="4" w:space="0"/>
            </w:tcBorders>
            <w:vAlign w:val="bottom"/>
          </w:tcPr>
          <w:p w14:paraId="1382E22B">
            <w:pPr>
              <w:jc w:val="center"/>
              <w:rPr>
                <w:szCs w:val="21"/>
                <w:highlight w:val="none"/>
              </w:rPr>
            </w:pPr>
            <w:r>
              <w:rPr>
                <w:szCs w:val="21"/>
                <w:highlight w:val="none"/>
              </w:rPr>
              <w:t xml:space="preserve">6.13 </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1F2B55E1">
            <w:pPr>
              <w:jc w:val="center"/>
              <w:rPr>
                <w:rFonts w:eastAsiaTheme="minorEastAsia"/>
                <w:szCs w:val="21"/>
                <w:highlight w:val="none"/>
              </w:rPr>
            </w:pPr>
            <w:r>
              <w:rPr>
                <w:rFonts w:eastAsiaTheme="minorEastAsia"/>
                <w:szCs w:val="21"/>
                <w:highlight w:val="none"/>
              </w:rPr>
              <w:t>6.18</w:t>
            </w:r>
          </w:p>
        </w:tc>
        <w:tc>
          <w:tcPr>
            <w:tcW w:w="1506" w:type="dxa"/>
            <w:vMerge w:val="restart"/>
            <w:tcBorders>
              <w:top w:val="single" w:color="auto" w:sz="4" w:space="0"/>
              <w:left w:val="single" w:color="auto" w:sz="4" w:space="0"/>
              <w:bottom w:val="single" w:color="auto" w:sz="4" w:space="0"/>
              <w:right w:val="single" w:color="auto" w:sz="4" w:space="0"/>
            </w:tcBorders>
            <w:vAlign w:val="center"/>
          </w:tcPr>
          <w:p w14:paraId="5C8A4C70">
            <w:pPr>
              <w:jc w:val="center"/>
              <w:rPr>
                <w:rFonts w:eastAsiaTheme="minorEastAsia"/>
                <w:szCs w:val="21"/>
                <w:highlight w:val="none"/>
              </w:rPr>
            </w:pPr>
            <w:r>
              <w:rPr>
                <w:rFonts w:eastAsiaTheme="minorEastAsia"/>
                <w:szCs w:val="21"/>
                <w:highlight w:val="none"/>
              </w:rPr>
              <w:t>0.07</w:t>
            </w:r>
          </w:p>
        </w:tc>
      </w:tr>
      <w:bookmarkEnd w:id="39"/>
      <w:tr w14:paraId="0D3D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8B3CBB">
            <w:pPr>
              <w:widowControl/>
              <w:jc w:val="left"/>
              <w:rPr>
                <w:rFonts w:eastAsiaTheme="minorEastAsia"/>
                <w:szCs w:val="21"/>
                <w:highlight w:val="none"/>
              </w:rPr>
            </w:pPr>
          </w:p>
        </w:tc>
        <w:tc>
          <w:tcPr>
            <w:tcW w:w="1208" w:type="dxa"/>
            <w:tcBorders>
              <w:top w:val="single" w:color="auto" w:sz="4" w:space="0"/>
              <w:left w:val="single" w:color="auto" w:sz="4" w:space="0"/>
              <w:bottom w:val="single" w:color="auto" w:sz="4" w:space="0"/>
              <w:right w:val="single" w:color="auto" w:sz="4" w:space="0"/>
            </w:tcBorders>
            <w:vAlign w:val="center"/>
          </w:tcPr>
          <w:p w14:paraId="1FA5A149">
            <w:pPr>
              <w:jc w:val="center"/>
              <w:rPr>
                <w:rFonts w:eastAsiaTheme="minorEastAsia"/>
                <w:szCs w:val="21"/>
                <w:highlight w:val="none"/>
              </w:rPr>
            </w:pPr>
            <w:r>
              <w:rPr>
                <w:rFonts w:hint="eastAsia" w:eastAsiaTheme="minorEastAsia"/>
                <w:szCs w:val="21"/>
                <w:highlight w:val="none"/>
                <w:lang w:val="en-US" w:eastAsia="zh-CN"/>
              </w:rPr>
              <w:t>2</w:t>
            </w:r>
          </w:p>
        </w:tc>
        <w:tc>
          <w:tcPr>
            <w:tcW w:w="684" w:type="dxa"/>
            <w:tcBorders>
              <w:top w:val="single" w:color="auto" w:sz="4" w:space="0"/>
              <w:left w:val="single" w:color="auto" w:sz="4" w:space="0"/>
              <w:bottom w:val="single" w:color="auto" w:sz="4" w:space="0"/>
              <w:right w:val="single" w:color="auto" w:sz="4" w:space="0"/>
            </w:tcBorders>
          </w:tcPr>
          <w:p w14:paraId="30292EB5">
            <w:pPr>
              <w:jc w:val="center"/>
              <w:rPr>
                <w:highlight w:val="none"/>
              </w:rPr>
            </w:pPr>
            <w:r>
              <w:rPr>
                <w:highlight w:val="none"/>
              </w:rPr>
              <w:t>6.2</w:t>
            </w:r>
          </w:p>
        </w:tc>
        <w:tc>
          <w:tcPr>
            <w:tcW w:w="684" w:type="dxa"/>
            <w:tcBorders>
              <w:top w:val="single" w:color="auto" w:sz="4" w:space="0"/>
              <w:left w:val="single" w:color="auto" w:sz="4" w:space="0"/>
              <w:bottom w:val="single" w:color="auto" w:sz="4" w:space="0"/>
              <w:right w:val="single" w:color="auto" w:sz="4" w:space="0"/>
            </w:tcBorders>
          </w:tcPr>
          <w:p w14:paraId="36F1B0A5">
            <w:pPr>
              <w:jc w:val="center"/>
              <w:rPr>
                <w:highlight w:val="none"/>
              </w:rPr>
            </w:pPr>
            <w:r>
              <w:rPr>
                <w:highlight w:val="none"/>
              </w:rPr>
              <w:t>6.2</w:t>
            </w:r>
          </w:p>
        </w:tc>
        <w:tc>
          <w:tcPr>
            <w:tcW w:w="683" w:type="dxa"/>
            <w:tcBorders>
              <w:top w:val="single" w:color="auto" w:sz="4" w:space="0"/>
              <w:left w:val="single" w:color="auto" w:sz="4" w:space="0"/>
              <w:bottom w:val="single" w:color="auto" w:sz="4" w:space="0"/>
              <w:right w:val="single" w:color="auto" w:sz="4" w:space="0"/>
            </w:tcBorders>
          </w:tcPr>
          <w:p w14:paraId="71126A14">
            <w:pPr>
              <w:jc w:val="center"/>
              <w:rPr>
                <w:highlight w:val="none"/>
              </w:rPr>
            </w:pPr>
            <w:r>
              <w:rPr>
                <w:highlight w:val="none"/>
              </w:rPr>
              <w:t>6.3</w:t>
            </w:r>
          </w:p>
        </w:tc>
        <w:tc>
          <w:tcPr>
            <w:tcW w:w="1807" w:type="dxa"/>
            <w:tcBorders>
              <w:top w:val="single" w:color="auto" w:sz="4" w:space="0"/>
              <w:left w:val="single" w:color="auto" w:sz="4" w:space="0"/>
              <w:bottom w:val="single" w:color="auto" w:sz="4" w:space="0"/>
              <w:right w:val="single" w:color="auto" w:sz="4" w:space="0"/>
            </w:tcBorders>
            <w:vAlign w:val="bottom"/>
          </w:tcPr>
          <w:p w14:paraId="6A7C6DAF">
            <w:pPr>
              <w:jc w:val="center"/>
              <w:rPr>
                <w:highlight w:val="none"/>
              </w:rPr>
            </w:pPr>
            <w:r>
              <w:rPr>
                <w:highlight w:val="none"/>
              </w:rPr>
              <w:t xml:space="preserve">6.23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288CC7C">
            <w:pPr>
              <w:widowControl/>
              <w:jc w:val="left"/>
              <w:rPr>
                <w:rFonts w:eastAsiaTheme="minorEastAsia"/>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1978D5">
            <w:pPr>
              <w:widowControl/>
              <w:jc w:val="left"/>
              <w:rPr>
                <w:rFonts w:eastAsiaTheme="minorEastAsia"/>
                <w:szCs w:val="21"/>
                <w:highlight w:val="none"/>
              </w:rPr>
            </w:pPr>
          </w:p>
        </w:tc>
      </w:tr>
    </w:tbl>
    <w:p w14:paraId="4FEA2A4D">
      <w:pPr>
        <w:jc w:val="center"/>
        <w:rPr>
          <w:highlight w:val="none"/>
        </w:rPr>
      </w:pPr>
    </w:p>
    <w:p w14:paraId="3C21338F">
      <w:pPr>
        <w:widowControl/>
        <w:snapToGrid w:val="0"/>
        <w:spacing w:line="300" w:lineRule="auto"/>
        <w:ind w:firstLine="442"/>
        <w:rPr>
          <w:sz w:val="24"/>
          <w:highlight w:val="none"/>
        </w:rPr>
      </w:pPr>
      <w:r>
        <w:rPr>
          <w:sz w:val="24"/>
          <w:highlight w:val="none"/>
        </w:rPr>
        <w:t>表</w:t>
      </w:r>
      <w:r>
        <w:rPr>
          <w:rFonts w:hint="eastAsia"/>
          <w:sz w:val="24"/>
          <w:highlight w:val="none"/>
        </w:rPr>
        <w:t>7为</w:t>
      </w:r>
      <w:r>
        <w:rPr>
          <w:sz w:val="24"/>
          <w:highlight w:val="none"/>
        </w:rPr>
        <w:t>样品A使用方法A进行精密度分析所需的ITP结果和补充统计数据。</w:t>
      </w:r>
    </w:p>
    <w:p w14:paraId="21E3D2F8">
      <w:pPr>
        <w:jc w:val="center"/>
        <w:rPr>
          <w:rFonts w:eastAsia="黑体"/>
          <w:bCs/>
          <w:highlight w:val="none"/>
        </w:rPr>
      </w:pPr>
    </w:p>
    <w:p w14:paraId="4AB80F1A">
      <w:pPr>
        <w:jc w:val="center"/>
        <w:rPr>
          <w:rFonts w:eastAsia="黑体"/>
          <w:bCs/>
          <w:highlight w:val="none"/>
        </w:rPr>
      </w:pPr>
      <w:r>
        <w:rPr>
          <w:rFonts w:eastAsia="黑体"/>
          <w:bCs/>
          <w:highlight w:val="none"/>
        </w:rPr>
        <w:t>表</w:t>
      </w:r>
      <w:r>
        <w:rPr>
          <w:rFonts w:hint="eastAsia" w:eastAsia="黑体"/>
          <w:bCs/>
          <w:highlight w:val="none"/>
        </w:rPr>
        <w:t>7</w:t>
      </w:r>
      <w:r>
        <w:rPr>
          <w:rFonts w:eastAsia="黑体"/>
          <w:bCs/>
          <w:highlight w:val="none"/>
        </w:rPr>
        <w:t>样品A的 ITP结果和补充统计数据（方法A）</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326"/>
        <w:gridCol w:w="1326"/>
        <w:gridCol w:w="1326"/>
        <w:gridCol w:w="1328"/>
        <w:gridCol w:w="1328"/>
        <w:gridCol w:w="1326"/>
      </w:tblGrid>
      <w:tr w14:paraId="1932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17E3C89E">
            <w:pPr>
              <w:jc w:val="center"/>
              <w:rPr>
                <w:rFonts w:eastAsiaTheme="minorEastAsia"/>
                <w:szCs w:val="21"/>
                <w:highlight w:val="none"/>
              </w:rPr>
            </w:pPr>
            <w:r>
              <w:rPr>
                <w:rFonts w:eastAsia="仿宋"/>
                <w:kern w:val="0"/>
                <w:szCs w:val="21"/>
                <w:highlight w:val="none"/>
              </w:rPr>
              <w:t>实验室p,p=6</w:t>
            </w:r>
          </w:p>
        </w:tc>
        <w:tc>
          <w:tcPr>
            <w:tcW w:w="714" w:type="pct"/>
            <w:vMerge w:val="restart"/>
            <w:vAlign w:val="center"/>
          </w:tcPr>
          <w:p w14:paraId="3233B12E">
            <w:pPr>
              <w:jc w:val="center"/>
              <w:rPr>
                <w:rFonts w:eastAsiaTheme="minorEastAsia"/>
                <w:szCs w:val="21"/>
                <w:highlight w:val="none"/>
              </w:rPr>
            </w:pPr>
            <w:r>
              <w:rPr>
                <w:rFonts w:eastAsia="仿宋"/>
                <w:kern w:val="0"/>
                <w:szCs w:val="21"/>
                <w:highlight w:val="none"/>
              </w:rPr>
              <w:t>天q，q=2</w:t>
            </w:r>
          </w:p>
        </w:tc>
        <w:tc>
          <w:tcPr>
            <w:tcW w:w="2143" w:type="pct"/>
            <w:gridSpan w:val="3"/>
            <w:vAlign w:val="center"/>
          </w:tcPr>
          <w:p w14:paraId="232641BD">
            <w:pPr>
              <w:jc w:val="center"/>
              <w:rPr>
                <w:rFonts w:eastAsiaTheme="minorEastAsia"/>
                <w:szCs w:val="21"/>
                <w:highlight w:val="none"/>
              </w:rPr>
            </w:pPr>
            <w:r>
              <w:rPr>
                <w:rFonts w:eastAsiaTheme="minorEastAsia"/>
                <w:szCs w:val="21"/>
                <w:highlight w:val="none"/>
              </w:rPr>
              <w:t>试验结果</w:t>
            </w:r>
          </w:p>
        </w:tc>
        <w:tc>
          <w:tcPr>
            <w:tcW w:w="715" w:type="pct"/>
            <w:vAlign w:val="center"/>
          </w:tcPr>
          <w:p w14:paraId="3DE67C11">
            <w:pPr>
              <w:jc w:val="center"/>
              <w:rPr>
                <w:rFonts w:eastAsiaTheme="minorEastAsia"/>
                <w:szCs w:val="21"/>
                <w:highlight w:val="none"/>
              </w:rPr>
            </w:pPr>
            <w:r>
              <w:rPr>
                <w:rFonts w:eastAsiaTheme="minorEastAsia"/>
                <w:szCs w:val="21"/>
                <w:highlight w:val="none"/>
              </w:rPr>
              <w:t>数据总和</w:t>
            </w:r>
          </w:p>
        </w:tc>
        <w:tc>
          <w:tcPr>
            <w:tcW w:w="714" w:type="pct"/>
            <w:vAlign w:val="center"/>
          </w:tcPr>
          <w:p w14:paraId="7A3517C5">
            <w:pPr>
              <w:jc w:val="center"/>
              <w:rPr>
                <w:rFonts w:eastAsiaTheme="minorEastAsia"/>
                <w:szCs w:val="21"/>
                <w:highlight w:val="none"/>
              </w:rPr>
            </w:pPr>
            <w:r>
              <w:rPr>
                <w:rFonts w:eastAsiaTheme="minorEastAsia"/>
                <w:szCs w:val="21"/>
                <w:highlight w:val="none"/>
              </w:rPr>
              <w:t>天总和</w:t>
            </w:r>
          </w:p>
        </w:tc>
      </w:tr>
      <w:tr w14:paraId="61B62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05B763B1">
            <w:pPr>
              <w:jc w:val="center"/>
              <w:rPr>
                <w:rFonts w:eastAsiaTheme="minorEastAsia"/>
                <w:szCs w:val="21"/>
                <w:highlight w:val="none"/>
              </w:rPr>
            </w:pPr>
          </w:p>
        </w:tc>
        <w:tc>
          <w:tcPr>
            <w:tcW w:w="714" w:type="pct"/>
            <w:vMerge w:val="continue"/>
            <w:vAlign w:val="center"/>
          </w:tcPr>
          <w:p w14:paraId="373CCB29">
            <w:pPr>
              <w:jc w:val="center"/>
              <w:rPr>
                <w:rFonts w:eastAsiaTheme="minorEastAsia"/>
                <w:szCs w:val="21"/>
                <w:highlight w:val="none"/>
              </w:rPr>
            </w:pPr>
          </w:p>
        </w:tc>
        <w:tc>
          <w:tcPr>
            <w:tcW w:w="714" w:type="pct"/>
            <w:vAlign w:val="center"/>
          </w:tcPr>
          <w:p w14:paraId="5D530CC5">
            <w:pPr>
              <w:jc w:val="center"/>
              <w:rPr>
                <w:rFonts w:eastAsiaTheme="minorEastAsia"/>
                <w:szCs w:val="21"/>
                <w:highlight w:val="none"/>
              </w:rPr>
            </w:pPr>
            <w:r>
              <w:rPr>
                <w:rFonts w:eastAsiaTheme="minorEastAsia"/>
                <w:szCs w:val="21"/>
                <w:highlight w:val="none"/>
              </w:rPr>
              <w:t>M1</w:t>
            </w:r>
          </w:p>
        </w:tc>
        <w:tc>
          <w:tcPr>
            <w:tcW w:w="714" w:type="pct"/>
            <w:vAlign w:val="center"/>
          </w:tcPr>
          <w:p w14:paraId="0EE68581">
            <w:pPr>
              <w:jc w:val="center"/>
              <w:rPr>
                <w:rFonts w:eastAsiaTheme="minorEastAsia"/>
                <w:szCs w:val="21"/>
                <w:highlight w:val="none"/>
              </w:rPr>
            </w:pPr>
            <w:r>
              <w:rPr>
                <w:rFonts w:eastAsiaTheme="minorEastAsia"/>
                <w:szCs w:val="21"/>
                <w:highlight w:val="none"/>
              </w:rPr>
              <w:t>M2</w:t>
            </w:r>
          </w:p>
        </w:tc>
        <w:tc>
          <w:tcPr>
            <w:tcW w:w="715" w:type="pct"/>
            <w:vAlign w:val="center"/>
          </w:tcPr>
          <w:p w14:paraId="31AC9001">
            <w:pPr>
              <w:jc w:val="center"/>
              <w:rPr>
                <w:rFonts w:eastAsiaTheme="minorEastAsia"/>
                <w:szCs w:val="21"/>
                <w:highlight w:val="none"/>
              </w:rPr>
            </w:pPr>
            <w:r>
              <w:rPr>
                <w:rFonts w:eastAsiaTheme="minorEastAsia"/>
                <w:szCs w:val="21"/>
                <w:highlight w:val="none"/>
              </w:rPr>
              <w:t>M3</w:t>
            </w:r>
          </w:p>
        </w:tc>
        <w:tc>
          <w:tcPr>
            <w:tcW w:w="715" w:type="pct"/>
            <w:vAlign w:val="center"/>
          </w:tcPr>
          <w:p w14:paraId="2C93873A">
            <w:pPr>
              <w:jc w:val="center"/>
              <w:rPr>
                <w:rFonts w:eastAsiaTheme="minorEastAsia"/>
                <w:szCs w:val="21"/>
                <w:highlight w:val="none"/>
              </w:rPr>
            </w:pPr>
            <w:r>
              <w:rPr>
                <w:rFonts w:eastAsiaTheme="minorEastAsia"/>
                <w:i/>
                <w:szCs w:val="21"/>
                <w:highlight w:val="none"/>
              </w:rPr>
              <w:t>T</w:t>
            </w:r>
            <w:r>
              <w:rPr>
                <w:rFonts w:eastAsiaTheme="minorEastAsia"/>
                <w:szCs w:val="21"/>
                <w:highlight w:val="none"/>
                <w:vertAlign w:val="subscript"/>
              </w:rPr>
              <w:t>ij.</w:t>
            </w:r>
          </w:p>
        </w:tc>
        <w:tc>
          <w:tcPr>
            <w:tcW w:w="714" w:type="pct"/>
            <w:vAlign w:val="center"/>
          </w:tcPr>
          <w:p w14:paraId="32611C3D">
            <w:pPr>
              <w:jc w:val="center"/>
              <w:rPr>
                <w:rFonts w:eastAsiaTheme="minorEastAsia"/>
                <w:szCs w:val="21"/>
                <w:highlight w:val="none"/>
              </w:rPr>
            </w:pPr>
            <w:r>
              <w:rPr>
                <w:rFonts w:eastAsiaTheme="minorEastAsia"/>
                <w:i/>
                <w:szCs w:val="21"/>
                <w:highlight w:val="none"/>
              </w:rPr>
              <w:t>T</w:t>
            </w:r>
            <w:r>
              <w:rPr>
                <w:rFonts w:eastAsiaTheme="minorEastAsia"/>
                <w:szCs w:val="21"/>
                <w:highlight w:val="none"/>
                <w:vertAlign w:val="subscript"/>
              </w:rPr>
              <w:t>i..</w:t>
            </w:r>
          </w:p>
        </w:tc>
      </w:tr>
      <w:tr w14:paraId="15DC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7EB32D61">
            <w:pPr>
              <w:jc w:val="center"/>
              <w:rPr>
                <w:rFonts w:eastAsiaTheme="minorEastAsia"/>
                <w:szCs w:val="21"/>
                <w:highlight w:val="none"/>
              </w:rPr>
            </w:pPr>
            <w:r>
              <w:rPr>
                <w:rFonts w:eastAsiaTheme="minorEastAsia"/>
                <w:szCs w:val="21"/>
                <w:highlight w:val="none"/>
              </w:rPr>
              <w:t>1</w:t>
            </w:r>
          </w:p>
        </w:tc>
        <w:tc>
          <w:tcPr>
            <w:tcW w:w="1326" w:type="dxa"/>
            <w:vAlign w:val="center"/>
          </w:tcPr>
          <w:p w14:paraId="0E338B7B">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3264B7A6">
            <w:pPr>
              <w:jc w:val="center"/>
              <w:rPr>
                <w:rFonts w:eastAsiaTheme="minorEastAsia"/>
                <w:color w:val="000000"/>
                <w:szCs w:val="21"/>
                <w:highlight w:val="none"/>
              </w:rPr>
            </w:pPr>
            <w:r>
              <w:rPr>
                <w:color w:val="000000"/>
                <w:szCs w:val="21"/>
                <w:highlight w:val="none"/>
              </w:rPr>
              <w:t>6.4</w:t>
            </w:r>
          </w:p>
        </w:tc>
        <w:tc>
          <w:tcPr>
            <w:tcW w:w="714" w:type="pct"/>
            <w:vAlign w:val="center"/>
          </w:tcPr>
          <w:p w14:paraId="3CFF05F2">
            <w:pPr>
              <w:jc w:val="center"/>
              <w:rPr>
                <w:rFonts w:eastAsiaTheme="minorEastAsia"/>
                <w:color w:val="000000"/>
                <w:szCs w:val="21"/>
                <w:highlight w:val="none"/>
              </w:rPr>
            </w:pPr>
            <w:r>
              <w:rPr>
                <w:color w:val="000000"/>
                <w:szCs w:val="21"/>
                <w:highlight w:val="none"/>
              </w:rPr>
              <w:t>6.1</w:t>
            </w:r>
          </w:p>
        </w:tc>
        <w:tc>
          <w:tcPr>
            <w:tcW w:w="715" w:type="pct"/>
            <w:vAlign w:val="center"/>
          </w:tcPr>
          <w:p w14:paraId="3F54DA27">
            <w:pPr>
              <w:jc w:val="center"/>
              <w:rPr>
                <w:rFonts w:eastAsiaTheme="minorEastAsia"/>
                <w:color w:val="000000"/>
                <w:szCs w:val="21"/>
                <w:highlight w:val="none"/>
              </w:rPr>
            </w:pPr>
            <w:r>
              <w:rPr>
                <w:color w:val="000000"/>
                <w:szCs w:val="21"/>
                <w:highlight w:val="none"/>
              </w:rPr>
              <w:t>6.6</w:t>
            </w:r>
          </w:p>
        </w:tc>
        <w:tc>
          <w:tcPr>
            <w:tcW w:w="715" w:type="pct"/>
            <w:vAlign w:val="center"/>
          </w:tcPr>
          <w:p w14:paraId="7D9DE2BA">
            <w:pPr>
              <w:jc w:val="center"/>
              <w:rPr>
                <w:rFonts w:eastAsiaTheme="minorEastAsia"/>
                <w:color w:val="000000"/>
                <w:szCs w:val="21"/>
                <w:highlight w:val="none"/>
              </w:rPr>
            </w:pPr>
            <w:r>
              <w:rPr>
                <w:color w:val="000000"/>
                <w:szCs w:val="21"/>
                <w:highlight w:val="none"/>
              </w:rPr>
              <w:t>19.1</w:t>
            </w:r>
          </w:p>
        </w:tc>
        <w:tc>
          <w:tcPr>
            <w:tcW w:w="714" w:type="pct"/>
            <w:vMerge w:val="restart"/>
            <w:vAlign w:val="center"/>
          </w:tcPr>
          <w:p w14:paraId="5B2065D9">
            <w:pPr>
              <w:jc w:val="center"/>
              <w:rPr>
                <w:rFonts w:eastAsiaTheme="minorEastAsia"/>
                <w:color w:val="000000"/>
                <w:szCs w:val="21"/>
                <w:highlight w:val="none"/>
              </w:rPr>
            </w:pPr>
            <w:r>
              <w:rPr>
                <w:color w:val="000000"/>
                <w:szCs w:val="21"/>
                <w:highlight w:val="none"/>
              </w:rPr>
              <w:t>37.4</w:t>
            </w:r>
          </w:p>
        </w:tc>
      </w:tr>
      <w:tr w14:paraId="124A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1CF257A2">
            <w:pPr>
              <w:jc w:val="center"/>
              <w:rPr>
                <w:rFonts w:eastAsiaTheme="minorEastAsia"/>
                <w:szCs w:val="21"/>
                <w:highlight w:val="none"/>
              </w:rPr>
            </w:pPr>
          </w:p>
        </w:tc>
        <w:tc>
          <w:tcPr>
            <w:tcW w:w="1326" w:type="dxa"/>
            <w:vAlign w:val="center"/>
          </w:tcPr>
          <w:p w14:paraId="021E312A">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36C14989">
            <w:pPr>
              <w:jc w:val="center"/>
              <w:rPr>
                <w:rFonts w:eastAsiaTheme="minorEastAsia"/>
                <w:color w:val="000000"/>
                <w:szCs w:val="21"/>
                <w:highlight w:val="none"/>
              </w:rPr>
            </w:pPr>
            <w:r>
              <w:rPr>
                <w:color w:val="000000"/>
                <w:szCs w:val="21"/>
                <w:highlight w:val="none"/>
              </w:rPr>
              <w:t>6.1</w:t>
            </w:r>
          </w:p>
        </w:tc>
        <w:tc>
          <w:tcPr>
            <w:tcW w:w="714" w:type="pct"/>
            <w:vAlign w:val="center"/>
          </w:tcPr>
          <w:p w14:paraId="1CF50FBE">
            <w:pPr>
              <w:jc w:val="center"/>
              <w:rPr>
                <w:rFonts w:eastAsiaTheme="minorEastAsia"/>
                <w:color w:val="000000"/>
                <w:szCs w:val="21"/>
                <w:highlight w:val="none"/>
              </w:rPr>
            </w:pPr>
            <w:r>
              <w:rPr>
                <w:color w:val="000000"/>
                <w:szCs w:val="21"/>
                <w:highlight w:val="none"/>
              </w:rPr>
              <w:t>6.1</w:t>
            </w:r>
          </w:p>
        </w:tc>
        <w:tc>
          <w:tcPr>
            <w:tcW w:w="715" w:type="pct"/>
            <w:vAlign w:val="center"/>
          </w:tcPr>
          <w:p w14:paraId="52892F5C">
            <w:pPr>
              <w:jc w:val="center"/>
              <w:rPr>
                <w:rFonts w:eastAsiaTheme="minorEastAsia"/>
                <w:color w:val="000000"/>
                <w:szCs w:val="21"/>
                <w:highlight w:val="none"/>
              </w:rPr>
            </w:pPr>
            <w:r>
              <w:rPr>
                <w:color w:val="000000"/>
                <w:szCs w:val="21"/>
                <w:highlight w:val="none"/>
              </w:rPr>
              <w:t>6.1</w:t>
            </w:r>
          </w:p>
        </w:tc>
        <w:tc>
          <w:tcPr>
            <w:tcW w:w="715" w:type="pct"/>
            <w:vAlign w:val="center"/>
          </w:tcPr>
          <w:p w14:paraId="39747BEE">
            <w:pPr>
              <w:jc w:val="center"/>
              <w:rPr>
                <w:rFonts w:eastAsiaTheme="minorEastAsia"/>
                <w:color w:val="000000"/>
                <w:szCs w:val="21"/>
                <w:highlight w:val="none"/>
              </w:rPr>
            </w:pPr>
            <w:r>
              <w:rPr>
                <w:color w:val="000000"/>
                <w:szCs w:val="21"/>
                <w:highlight w:val="none"/>
              </w:rPr>
              <w:t>18.3</w:t>
            </w:r>
          </w:p>
        </w:tc>
        <w:tc>
          <w:tcPr>
            <w:tcW w:w="714" w:type="pct"/>
            <w:vMerge w:val="continue"/>
            <w:vAlign w:val="center"/>
          </w:tcPr>
          <w:p w14:paraId="5611114A">
            <w:pPr>
              <w:jc w:val="center"/>
              <w:rPr>
                <w:rFonts w:eastAsiaTheme="minorEastAsia"/>
                <w:szCs w:val="21"/>
                <w:highlight w:val="none"/>
              </w:rPr>
            </w:pPr>
          </w:p>
        </w:tc>
      </w:tr>
      <w:tr w14:paraId="19FC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32D8DC12">
            <w:pPr>
              <w:jc w:val="center"/>
              <w:rPr>
                <w:rFonts w:eastAsiaTheme="minorEastAsia"/>
                <w:szCs w:val="21"/>
                <w:highlight w:val="none"/>
              </w:rPr>
            </w:pPr>
            <w:r>
              <w:rPr>
                <w:rFonts w:eastAsiaTheme="minorEastAsia"/>
                <w:szCs w:val="21"/>
                <w:highlight w:val="none"/>
              </w:rPr>
              <w:t>2</w:t>
            </w:r>
          </w:p>
        </w:tc>
        <w:tc>
          <w:tcPr>
            <w:tcW w:w="1326" w:type="dxa"/>
            <w:vAlign w:val="center"/>
          </w:tcPr>
          <w:p w14:paraId="251B2161">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27A9F820">
            <w:pPr>
              <w:jc w:val="center"/>
              <w:rPr>
                <w:rFonts w:eastAsiaTheme="minorEastAsia"/>
                <w:color w:val="000000"/>
                <w:szCs w:val="21"/>
                <w:highlight w:val="none"/>
              </w:rPr>
            </w:pPr>
            <w:r>
              <w:rPr>
                <w:color w:val="000000"/>
                <w:szCs w:val="21"/>
                <w:highlight w:val="none"/>
              </w:rPr>
              <w:t>6.5</w:t>
            </w:r>
          </w:p>
        </w:tc>
        <w:tc>
          <w:tcPr>
            <w:tcW w:w="714" w:type="pct"/>
            <w:vAlign w:val="center"/>
          </w:tcPr>
          <w:p w14:paraId="2CDBA223">
            <w:pPr>
              <w:jc w:val="center"/>
              <w:rPr>
                <w:rFonts w:eastAsiaTheme="minorEastAsia"/>
                <w:color w:val="000000"/>
                <w:szCs w:val="21"/>
                <w:highlight w:val="none"/>
              </w:rPr>
            </w:pPr>
            <w:r>
              <w:rPr>
                <w:color w:val="000000"/>
                <w:szCs w:val="21"/>
                <w:highlight w:val="none"/>
              </w:rPr>
              <w:t>7.0</w:t>
            </w:r>
          </w:p>
        </w:tc>
        <w:tc>
          <w:tcPr>
            <w:tcW w:w="715" w:type="pct"/>
            <w:vAlign w:val="center"/>
          </w:tcPr>
          <w:p w14:paraId="0C5326CF">
            <w:pPr>
              <w:jc w:val="center"/>
              <w:rPr>
                <w:rFonts w:eastAsiaTheme="minorEastAsia"/>
                <w:color w:val="000000"/>
                <w:szCs w:val="21"/>
                <w:highlight w:val="none"/>
              </w:rPr>
            </w:pPr>
            <w:r>
              <w:rPr>
                <w:color w:val="000000"/>
                <w:szCs w:val="21"/>
                <w:highlight w:val="none"/>
              </w:rPr>
              <w:t>6.1</w:t>
            </w:r>
          </w:p>
        </w:tc>
        <w:tc>
          <w:tcPr>
            <w:tcW w:w="715" w:type="pct"/>
            <w:vAlign w:val="center"/>
          </w:tcPr>
          <w:p w14:paraId="31F2F17A">
            <w:pPr>
              <w:jc w:val="center"/>
              <w:rPr>
                <w:rFonts w:eastAsiaTheme="minorEastAsia"/>
                <w:color w:val="000000"/>
                <w:szCs w:val="21"/>
                <w:highlight w:val="none"/>
              </w:rPr>
            </w:pPr>
            <w:r>
              <w:rPr>
                <w:color w:val="000000"/>
                <w:szCs w:val="21"/>
                <w:highlight w:val="none"/>
              </w:rPr>
              <w:t>19.6</w:t>
            </w:r>
          </w:p>
        </w:tc>
        <w:tc>
          <w:tcPr>
            <w:tcW w:w="714" w:type="pct"/>
            <w:vMerge w:val="restart"/>
            <w:vAlign w:val="center"/>
          </w:tcPr>
          <w:p w14:paraId="19D0E310">
            <w:pPr>
              <w:jc w:val="center"/>
              <w:rPr>
                <w:rFonts w:eastAsiaTheme="minorEastAsia"/>
                <w:color w:val="000000"/>
                <w:szCs w:val="21"/>
                <w:highlight w:val="none"/>
              </w:rPr>
            </w:pPr>
            <w:r>
              <w:rPr>
                <w:color w:val="000000"/>
                <w:szCs w:val="21"/>
                <w:highlight w:val="none"/>
              </w:rPr>
              <w:t>38.5</w:t>
            </w:r>
          </w:p>
        </w:tc>
      </w:tr>
      <w:tr w14:paraId="4AA9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40A7B232">
            <w:pPr>
              <w:jc w:val="center"/>
              <w:rPr>
                <w:rFonts w:eastAsiaTheme="minorEastAsia"/>
                <w:szCs w:val="21"/>
                <w:highlight w:val="none"/>
              </w:rPr>
            </w:pPr>
          </w:p>
        </w:tc>
        <w:tc>
          <w:tcPr>
            <w:tcW w:w="1326" w:type="dxa"/>
            <w:vAlign w:val="center"/>
          </w:tcPr>
          <w:p w14:paraId="209211D5">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73FB8232">
            <w:pPr>
              <w:jc w:val="center"/>
              <w:rPr>
                <w:rFonts w:eastAsiaTheme="minorEastAsia"/>
                <w:color w:val="000000"/>
                <w:szCs w:val="21"/>
                <w:highlight w:val="none"/>
              </w:rPr>
            </w:pPr>
            <w:r>
              <w:rPr>
                <w:color w:val="000000"/>
                <w:szCs w:val="21"/>
                <w:highlight w:val="none"/>
              </w:rPr>
              <w:t>6.4</w:t>
            </w:r>
          </w:p>
        </w:tc>
        <w:tc>
          <w:tcPr>
            <w:tcW w:w="714" w:type="pct"/>
            <w:vAlign w:val="center"/>
          </w:tcPr>
          <w:p w14:paraId="00BA972D">
            <w:pPr>
              <w:jc w:val="center"/>
              <w:rPr>
                <w:rFonts w:eastAsiaTheme="minorEastAsia"/>
                <w:color w:val="000000"/>
                <w:szCs w:val="21"/>
                <w:highlight w:val="none"/>
              </w:rPr>
            </w:pPr>
            <w:r>
              <w:rPr>
                <w:color w:val="000000"/>
                <w:szCs w:val="21"/>
                <w:highlight w:val="none"/>
              </w:rPr>
              <w:t>6.2</w:t>
            </w:r>
          </w:p>
        </w:tc>
        <w:tc>
          <w:tcPr>
            <w:tcW w:w="715" w:type="pct"/>
            <w:vAlign w:val="center"/>
          </w:tcPr>
          <w:p w14:paraId="1F5A1C98">
            <w:pPr>
              <w:jc w:val="center"/>
              <w:rPr>
                <w:rFonts w:eastAsiaTheme="minorEastAsia"/>
                <w:color w:val="000000"/>
                <w:szCs w:val="21"/>
                <w:highlight w:val="none"/>
              </w:rPr>
            </w:pPr>
            <w:r>
              <w:rPr>
                <w:color w:val="000000"/>
                <w:szCs w:val="21"/>
                <w:highlight w:val="none"/>
              </w:rPr>
              <w:t>6.3</w:t>
            </w:r>
          </w:p>
        </w:tc>
        <w:tc>
          <w:tcPr>
            <w:tcW w:w="715" w:type="pct"/>
            <w:vAlign w:val="center"/>
          </w:tcPr>
          <w:p w14:paraId="4DF31DD1">
            <w:pPr>
              <w:jc w:val="center"/>
              <w:rPr>
                <w:rFonts w:eastAsiaTheme="minorEastAsia"/>
                <w:color w:val="000000"/>
                <w:szCs w:val="21"/>
                <w:highlight w:val="none"/>
              </w:rPr>
            </w:pPr>
            <w:r>
              <w:rPr>
                <w:color w:val="000000"/>
                <w:szCs w:val="21"/>
                <w:highlight w:val="none"/>
              </w:rPr>
              <w:t>18.9</w:t>
            </w:r>
          </w:p>
        </w:tc>
        <w:tc>
          <w:tcPr>
            <w:tcW w:w="714" w:type="pct"/>
            <w:vMerge w:val="continue"/>
            <w:vAlign w:val="center"/>
          </w:tcPr>
          <w:p w14:paraId="7D65FC8B">
            <w:pPr>
              <w:jc w:val="center"/>
              <w:rPr>
                <w:rFonts w:eastAsiaTheme="minorEastAsia"/>
                <w:szCs w:val="21"/>
                <w:highlight w:val="none"/>
              </w:rPr>
            </w:pPr>
          </w:p>
        </w:tc>
      </w:tr>
      <w:tr w14:paraId="5135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5E124BBE">
            <w:pPr>
              <w:jc w:val="center"/>
              <w:rPr>
                <w:rFonts w:eastAsiaTheme="minorEastAsia"/>
                <w:szCs w:val="21"/>
                <w:highlight w:val="none"/>
              </w:rPr>
            </w:pPr>
            <w:r>
              <w:rPr>
                <w:rFonts w:eastAsiaTheme="minorEastAsia"/>
                <w:szCs w:val="21"/>
                <w:highlight w:val="none"/>
              </w:rPr>
              <w:t>3</w:t>
            </w:r>
          </w:p>
        </w:tc>
        <w:tc>
          <w:tcPr>
            <w:tcW w:w="1326" w:type="dxa"/>
            <w:vAlign w:val="center"/>
          </w:tcPr>
          <w:p w14:paraId="34C500EC">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73E59219">
            <w:pPr>
              <w:jc w:val="center"/>
              <w:rPr>
                <w:rFonts w:eastAsiaTheme="minorEastAsia"/>
                <w:color w:val="000000"/>
                <w:szCs w:val="21"/>
                <w:highlight w:val="none"/>
              </w:rPr>
            </w:pPr>
            <w:r>
              <w:rPr>
                <w:color w:val="000000"/>
                <w:szCs w:val="21"/>
                <w:highlight w:val="none"/>
              </w:rPr>
              <w:t>6.1</w:t>
            </w:r>
          </w:p>
        </w:tc>
        <w:tc>
          <w:tcPr>
            <w:tcW w:w="714" w:type="pct"/>
            <w:vAlign w:val="center"/>
          </w:tcPr>
          <w:p w14:paraId="663F9993">
            <w:pPr>
              <w:jc w:val="center"/>
              <w:rPr>
                <w:rFonts w:eastAsiaTheme="minorEastAsia"/>
                <w:color w:val="000000"/>
                <w:szCs w:val="21"/>
                <w:highlight w:val="none"/>
              </w:rPr>
            </w:pPr>
            <w:r>
              <w:rPr>
                <w:color w:val="000000"/>
                <w:szCs w:val="21"/>
                <w:highlight w:val="none"/>
              </w:rPr>
              <w:t>6.0</w:t>
            </w:r>
          </w:p>
        </w:tc>
        <w:tc>
          <w:tcPr>
            <w:tcW w:w="715" w:type="pct"/>
            <w:vAlign w:val="center"/>
          </w:tcPr>
          <w:p w14:paraId="54802FE2">
            <w:pPr>
              <w:jc w:val="center"/>
              <w:rPr>
                <w:rFonts w:eastAsiaTheme="minorEastAsia"/>
                <w:color w:val="000000"/>
                <w:szCs w:val="21"/>
                <w:highlight w:val="none"/>
              </w:rPr>
            </w:pPr>
            <w:r>
              <w:rPr>
                <w:color w:val="000000"/>
                <w:szCs w:val="21"/>
                <w:highlight w:val="none"/>
              </w:rPr>
              <w:t>6.8</w:t>
            </w:r>
          </w:p>
        </w:tc>
        <w:tc>
          <w:tcPr>
            <w:tcW w:w="715" w:type="pct"/>
            <w:vAlign w:val="center"/>
          </w:tcPr>
          <w:p w14:paraId="65EF7C8A">
            <w:pPr>
              <w:jc w:val="center"/>
              <w:rPr>
                <w:rFonts w:eastAsiaTheme="minorEastAsia"/>
                <w:color w:val="000000"/>
                <w:szCs w:val="21"/>
                <w:highlight w:val="none"/>
              </w:rPr>
            </w:pPr>
            <w:r>
              <w:rPr>
                <w:color w:val="000000"/>
                <w:szCs w:val="21"/>
                <w:highlight w:val="none"/>
              </w:rPr>
              <w:t>18.9</w:t>
            </w:r>
          </w:p>
        </w:tc>
        <w:tc>
          <w:tcPr>
            <w:tcW w:w="714" w:type="pct"/>
            <w:vMerge w:val="restart"/>
            <w:vAlign w:val="center"/>
          </w:tcPr>
          <w:p w14:paraId="114437D4">
            <w:pPr>
              <w:jc w:val="center"/>
              <w:rPr>
                <w:rFonts w:eastAsiaTheme="minorEastAsia"/>
                <w:color w:val="000000"/>
                <w:szCs w:val="21"/>
                <w:highlight w:val="none"/>
              </w:rPr>
            </w:pPr>
            <w:r>
              <w:rPr>
                <w:color w:val="000000"/>
                <w:szCs w:val="21"/>
                <w:highlight w:val="none"/>
              </w:rPr>
              <w:t>38.4</w:t>
            </w:r>
          </w:p>
        </w:tc>
      </w:tr>
      <w:tr w14:paraId="33E0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6EEBEAF1">
            <w:pPr>
              <w:jc w:val="center"/>
              <w:rPr>
                <w:rFonts w:eastAsiaTheme="minorEastAsia"/>
                <w:szCs w:val="21"/>
                <w:highlight w:val="none"/>
              </w:rPr>
            </w:pPr>
          </w:p>
        </w:tc>
        <w:tc>
          <w:tcPr>
            <w:tcW w:w="1326" w:type="dxa"/>
            <w:vAlign w:val="center"/>
          </w:tcPr>
          <w:p w14:paraId="06F189A3">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555B64F0">
            <w:pPr>
              <w:jc w:val="center"/>
              <w:rPr>
                <w:rFonts w:eastAsiaTheme="minorEastAsia"/>
                <w:color w:val="000000"/>
                <w:szCs w:val="21"/>
                <w:highlight w:val="none"/>
              </w:rPr>
            </w:pPr>
            <w:r>
              <w:rPr>
                <w:color w:val="000000"/>
                <w:szCs w:val="21"/>
                <w:highlight w:val="none"/>
              </w:rPr>
              <w:t>6.3</w:t>
            </w:r>
          </w:p>
        </w:tc>
        <w:tc>
          <w:tcPr>
            <w:tcW w:w="714" w:type="pct"/>
            <w:vAlign w:val="center"/>
          </w:tcPr>
          <w:p w14:paraId="25B6290B">
            <w:pPr>
              <w:jc w:val="center"/>
              <w:rPr>
                <w:rFonts w:eastAsiaTheme="minorEastAsia"/>
                <w:color w:val="000000"/>
                <w:szCs w:val="21"/>
                <w:highlight w:val="none"/>
              </w:rPr>
            </w:pPr>
            <w:r>
              <w:rPr>
                <w:color w:val="000000"/>
                <w:szCs w:val="21"/>
                <w:highlight w:val="none"/>
              </w:rPr>
              <w:t>6.2</w:t>
            </w:r>
          </w:p>
        </w:tc>
        <w:tc>
          <w:tcPr>
            <w:tcW w:w="715" w:type="pct"/>
            <w:vAlign w:val="center"/>
          </w:tcPr>
          <w:p w14:paraId="2AEEA33A">
            <w:pPr>
              <w:jc w:val="center"/>
              <w:rPr>
                <w:rFonts w:eastAsiaTheme="minorEastAsia"/>
                <w:color w:val="000000"/>
                <w:szCs w:val="21"/>
                <w:highlight w:val="none"/>
              </w:rPr>
            </w:pPr>
            <w:r>
              <w:rPr>
                <w:color w:val="000000"/>
                <w:szCs w:val="21"/>
                <w:highlight w:val="none"/>
              </w:rPr>
              <w:t>7.0</w:t>
            </w:r>
          </w:p>
        </w:tc>
        <w:tc>
          <w:tcPr>
            <w:tcW w:w="715" w:type="pct"/>
            <w:vAlign w:val="center"/>
          </w:tcPr>
          <w:p w14:paraId="04E9DAB0">
            <w:pPr>
              <w:jc w:val="center"/>
              <w:rPr>
                <w:rFonts w:eastAsiaTheme="minorEastAsia"/>
                <w:color w:val="000000"/>
                <w:szCs w:val="21"/>
                <w:highlight w:val="none"/>
              </w:rPr>
            </w:pPr>
            <w:r>
              <w:rPr>
                <w:color w:val="000000"/>
                <w:szCs w:val="21"/>
                <w:highlight w:val="none"/>
              </w:rPr>
              <w:t>19.5</w:t>
            </w:r>
          </w:p>
        </w:tc>
        <w:tc>
          <w:tcPr>
            <w:tcW w:w="714" w:type="pct"/>
            <w:vMerge w:val="continue"/>
            <w:vAlign w:val="center"/>
          </w:tcPr>
          <w:p w14:paraId="0104B9CC">
            <w:pPr>
              <w:jc w:val="center"/>
              <w:rPr>
                <w:rFonts w:eastAsiaTheme="minorEastAsia"/>
                <w:szCs w:val="21"/>
                <w:highlight w:val="none"/>
              </w:rPr>
            </w:pPr>
          </w:p>
        </w:tc>
      </w:tr>
      <w:tr w14:paraId="1643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39CC5521">
            <w:pPr>
              <w:jc w:val="center"/>
              <w:rPr>
                <w:rFonts w:eastAsiaTheme="minorEastAsia"/>
                <w:szCs w:val="21"/>
                <w:highlight w:val="none"/>
              </w:rPr>
            </w:pPr>
            <w:r>
              <w:rPr>
                <w:rFonts w:eastAsiaTheme="minorEastAsia"/>
                <w:szCs w:val="21"/>
                <w:highlight w:val="none"/>
              </w:rPr>
              <w:t>4</w:t>
            </w:r>
          </w:p>
        </w:tc>
        <w:tc>
          <w:tcPr>
            <w:tcW w:w="1326" w:type="dxa"/>
            <w:vAlign w:val="center"/>
          </w:tcPr>
          <w:p w14:paraId="55BBE36C">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3DF02C48">
            <w:pPr>
              <w:jc w:val="center"/>
              <w:rPr>
                <w:rFonts w:eastAsiaTheme="minorEastAsia"/>
                <w:color w:val="000000"/>
                <w:szCs w:val="21"/>
                <w:highlight w:val="none"/>
              </w:rPr>
            </w:pPr>
            <w:r>
              <w:rPr>
                <w:color w:val="000000"/>
                <w:szCs w:val="21"/>
                <w:highlight w:val="none"/>
              </w:rPr>
              <w:t>5.4</w:t>
            </w:r>
          </w:p>
        </w:tc>
        <w:tc>
          <w:tcPr>
            <w:tcW w:w="714" w:type="pct"/>
            <w:vAlign w:val="center"/>
          </w:tcPr>
          <w:p w14:paraId="5CF016D3">
            <w:pPr>
              <w:jc w:val="center"/>
              <w:rPr>
                <w:rFonts w:eastAsiaTheme="minorEastAsia"/>
                <w:color w:val="000000"/>
                <w:szCs w:val="21"/>
                <w:highlight w:val="none"/>
              </w:rPr>
            </w:pPr>
            <w:r>
              <w:rPr>
                <w:color w:val="000000"/>
                <w:szCs w:val="21"/>
                <w:highlight w:val="none"/>
              </w:rPr>
              <w:t>5.6</w:t>
            </w:r>
          </w:p>
        </w:tc>
        <w:tc>
          <w:tcPr>
            <w:tcW w:w="715" w:type="pct"/>
            <w:vAlign w:val="center"/>
          </w:tcPr>
          <w:p w14:paraId="580A6EF7">
            <w:pPr>
              <w:jc w:val="center"/>
              <w:rPr>
                <w:rFonts w:eastAsiaTheme="minorEastAsia"/>
                <w:color w:val="000000"/>
                <w:szCs w:val="21"/>
                <w:highlight w:val="none"/>
              </w:rPr>
            </w:pPr>
            <w:r>
              <w:rPr>
                <w:color w:val="000000"/>
                <w:szCs w:val="21"/>
                <w:highlight w:val="none"/>
              </w:rPr>
              <w:t>5.6</w:t>
            </w:r>
          </w:p>
        </w:tc>
        <w:tc>
          <w:tcPr>
            <w:tcW w:w="715" w:type="pct"/>
            <w:vAlign w:val="center"/>
          </w:tcPr>
          <w:p w14:paraId="15FE6801">
            <w:pPr>
              <w:jc w:val="center"/>
              <w:rPr>
                <w:rFonts w:eastAsiaTheme="minorEastAsia"/>
                <w:color w:val="000000"/>
                <w:szCs w:val="21"/>
                <w:highlight w:val="none"/>
              </w:rPr>
            </w:pPr>
            <w:r>
              <w:rPr>
                <w:color w:val="000000"/>
                <w:szCs w:val="21"/>
                <w:highlight w:val="none"/>
              </w:rPr>
              <w:t>16.6</w:t>
            </w:r>
          </w:p>
        </w:tc>
        <w:tc>
          <w:tcPr>
            <w:tcW w:w="714" w:type="pct"/>
            <w:vMerge w:val="restart"/>
            <w:vAlign w:val="center"/>
          </w:tcPr>
          <w:p w14:paraId="6A5C3FCD">
            <w:pPr>
              <w:jc w:val="center"/>
              <w:rPr>
                <w:rFonts w:eastAsiaTheme="minorEastAsia"/>
                <w:color w:val="000000"/>
                <w:szCs w:val="21"/>
                <w:highlight w:val="none"/>
              </w:rPr>
            </w:pPr>
            <w:r>
              <w:rPr>
                <w:color w:val="000000"/>
                <w:szCs w:val="21"/>
                <w:highlight w:val="none"/>
              </w:rPr>
              <w:t>33.4</w:t>
            </w:r>
          </w:p>
        </w:tc>
      </w:tr>
      <w:tr w14:paraId="4418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0DBE2995">
            <w:pPr>
              <w:jc w:val="center"/>
              <w:rPr>
                <w:rFonts w:eastAsiaTheme="minorEastAsia"/>
                <w:szCs w:val="21"/>
                <w:highlight w:val="none"/>
              </w:rPr>
            </w:pPr>
          </w:p>
        </w:tc>
        <w:tc>
          <w:tcPr>
            <w:tcW w:w="1326" w:type="dxa"/>
            <w:vAlign w:val="center"/>
          </w:tcPr>
          <w:p w14:paraId="42FDF139">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40A1B499">
            <w:pPr>
              <w:jc w:val="center"/>
              <w:rPr>
                <w:rFonts w:eastAsiaTheme="minorEastAsia"/>
                <w:color w:val="000000"/>
                <w:szCs w:val="21"/>
                <w:highlight w:val="none"/>
              </w:rPr>
            </w:pPr>
            <w:r>
              <w:rPr>
                <w:color w:val="000000"/>
                <w:szCs w:val="21"/>
                <w:highlight w:val="none"/>
              </w:rPr>
              <w:t>5.5</w:t>
            </w:r>
          </w:p>
        </w:tc>
        <w:tc>
          <w:tcPr>
            <w:tcW w:w="714" w:type="pct"/>
            <w:vAlign w:val="center"/>
          </w:tcPr>
          <w:p w14:paraId="77D09563">
            <w:pPr>
              <w:jc w:val="center"/>
              <w:rPr>
                <w:rFonts w:eastAsiaTheme="minorEastAsia"/>
                <w:color w:val="000000"/>
                <w:szCs w:val="21"/>
                <w:highlight w:val="none"/>
              </w:rPr>
            </w:pPr>
            <w:r>
              <w:rPr>
                <w:color w:val="000000"/>
                <w:szCs w:val="21"/>
                <w:highlight w:val="none"/>
              </w:rPr>
              <w:t>5.7</w:t>
            </w:r>
          </w:p>
        </w:tc>
        <w:tc>
          <w:tcPr>
            <w:tcW w:w="715" w:type="pct"/>
            <w:vAlign w:val="center"/>
          </w:tcPr>
          <w:p w14:paraId="3FDABE6E">
            <w:pPr>
              <w:jc w:val="center"/>
              <w:rPr>
                <w:rFonts w:eastAsiaTheme="minorEastAsia"/>
                <w:color w:val="000000"/>
                <w:szCs w:val="21"/>
                <w:highlight w:val="none"/>
              </w:rPr>
            </w:pPr>
            <w:r>
              <w:rPr>
                <w:color w:val="000000"/>
                <w:szCs w:val="21"/>
                <w:highlight w:val="none"/>
              </w:rPr>
              <w:t>5.6</w:t>
            </w:r>
          </w:p>
        </w:tc>
        <w:tc>
          <w:tcPr>
            <w:tcW w:w="715" w:type="pct"/>
            <w:vAlign w:val="center"/>
          </w:tcPr>
          <w:p w14:paraId="4015A007">
            <w:pPr>
              <w:jc w:val="center"/>
              <w:rPr>
                <w:rFonts w:eastAsiaTheme="minorEastAsia"/>
                <w:color w:val="000000"/>
                <w:szCs w:val="21"/>
                <w:highlight w:val="none"/>
              </w:rPr>
            </w:pPr>
            <w:r>
              <w:rPr>
                <w:color w:val="000000"/>
                <w:szCs w:val="21"/>
                <w:highlight w:val="none"/>
              </w:rPr>
              <w:t>16.8</w:t>
            </w:r>
          </w:p>
        </w:tc>
        <w:tc>
          <w:tcPr>
            <w:tcW w:w="714" w:type="pct"/>
            <w:vMerge w:val="continue"/>
            <w:vAlign w:val="center"/>
          </w:tcPr>
          <w:p w14:paraId="7F687E5E">
            <w:pPr>
              <w:jc w:val="center"/>
              <w:rPr>
                <w:rFonts w:eastAsiaTheme="minorEastAsia"/>
                <w:szCs w:val="21"/>
                <w:highlight w:val="none"/>
              </w:rPr>
            </w:pPr>
          </w:p>
        </w:tc>
      </w:tr>
      <w:tr w14:paraId="6B67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52B1A5A5">
            <w:pPr>
              <w:jc w:val="center"/>
              <w:rPr>
                <w:rFonts w:eastAsiaTheme="minorEastAsia"/>
                <w:szCs w:val="21"/>
                <w:highlight w:val="none"/>
              </w:rPr>
            </w:pPr>
            <w:bookmarkStart w:id="40" w:name="_Hlk207124371"/>
            <w:r>
              <w:rPr>
                <w:rFonts w:eastAsiaTheme="minorEastAsia"/>
                <w:szCs w:val="21"/>
                <w:highlight w:val="none"/>
              </w:rPr>
              <w:t>6</w:t>
            </w:r>
          </w:p>
        </w:tc>
        <w:tc>
          <w:tcPr>
            <w:tcW w:w="1326" w:type="dxa"/>
            <w:vAlign w:val="center"/>
          </w:tcPr>
          <w:p w14:paraId="12170EFA">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22008117">
            <w:pPr>
              <w:jc w:val="center"/>
              <w:rPr>
                <w:rFonts w:eastAsiaTheme="minorEastAsia"/>
                <w:color w:val="000000"/>
                <w:szCs w:val="21"/>
                <w:highlight w:val="none"/>
              </w:rPr>
            </w:pPr>
            <w:r>
              <w:rPr>
                <w:color w:val="000000"/>
                <w:szCs w:val="21"/>
                <w:highlight w:val="none"/>
              </w:rPr>
              <w:t>5.5</w:t>
            </w:r>
          </w:p>
        </w:tc>
        <w:tc>
          <w:tcPr>
            <w:tcW w:w="714" w:type="pct"/>
            <w:vAlign w:val="center"/>
          </w:tcPr>
          <w:p w14:paraId="077C2A40">
            <w:pPr>
              <w:jc w:val="center"/>
              <w:rPr>
                <w:rFonts w:eastAsiaTheme="minorEastAsia"/>
                <w:color w:val="000000"/>
                <w:szCs w:val="21"/>
                <w:highlight w:val="none"/>
              </w:rPr>
            </w:pPr>
            <w:r>
              <w:rPr>
                <w:color w:val="000000"/>
                <w:szCs w:val="21"/>
                <w:highlight w:val="none"/>
              </w:rPr>
              <w:t>5.4</w:t>
            </w:r>
          </w:p>
        </w:tc>
        <w:tc>
          <w:tcPr>
            <w:tcW w:w="715" w:type="pct"/>
            <w:vAlign w:val="center"/>
          </w:tcPr>
          <w:p w14:paraId="3FAF0B84">
            <w:pPr>
              <w:jc w:val="center"/>
              <w:rPr>
                <w:rFonts w:eastAsiaTheme="minorEastAsia"/>
                <w:color w:val="000000"/>
                <w:szCs w:val="21"/>
                <w:highlight w:val="none"/>
              </w:rPr>
            </w:pPr>
            <w:r>
              <w:rPr>
                <w:color w:val="000000"/>
                <w:szCs w:val="21"/>
                <w:highlight w:val="none"/>
              </w:rPr>
              <w:t>5.4</w:t>
            </w:r>
          </w:p>
        </w:tc>
        <w:tc>
          <w:tcPr>
            <w:tcW w:w="715" w:type="pct"/>
            <w:vAlign w:val="center"/>
          </w:tcPr>
          <w:p w14:paraId="40343951">
            <w:pPr>
              <w:jc w:val="center"/>
              <w:rPr>
                <w:rFonts w:eastAsiaTheme="minorEastAsia"/>
                <w:color w:val="000000"/>
                <w:szCs w:val="21"/>
                <w:highlight w:val="none"/>
              </w:rPr>
            </w:pPr>
            <w:r>
              <w:rPr>
                <w:color w:val="000000"/>
                <w:szCs w:val="21"/>
                <w:highlight w:val="none"/>
              </w:rPr>
              <w:t>16.3</w:t>
            </w:r>
          </w:p>
        </w:tc>
        <w:tc>
          <w:tcPr>
            <w:tcW w:w="714" w:type="pct"/>
            <w:vMerge w:val="restart"/>
            <w:vAlign w:val="center"/>
          </w:tcPr>
          <w:p w14:paraId="22BBE045">
            <w:pPr>
              <w:jc w:val="center"/>
              <w:rPr>
                <w:rFonts w:eastAsiaTheme="minorEastAsia"/>
                <w:color w:val="000000"/>
                <w:szCs w:val="21"/>
                <w:highlight w:val="none"/>
              </w:rPr>
            </w:pPr>
            <w:r>
              <w:rPr>
                <w:color w:val="000000"/>
                <w:szCs w:val="21"/>
                <w:highlight w:val="none"/>
              </w:rPr>
              <w:t>32.6</w:t>
            </w:r>
          </w:p>
        </w:tc>
      </w:tr>
      <w:tr w14:paraId="2C1F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2AE5C99F">
            <w:pPr>
              <w:jc w:val="center"/>
              <w:rPr>
                <w:rFonts w:eastAsiaTheme="minorEastAsia"/>
                <w:szCs w:val="21"/>
                <w:highlight w:val="none"/>
              </w:rPr>
            </w:pPr>
          </w:p>
        </w:tc>
        <w:tc>
          <w:tcPr>
            <w:tcW w:w="1326" w:type="dxa"/>
            <w:vAlign w:val="center"/>
          </w:tcPr>
          <w:p w14:paraId="05B4F1E7">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77BA7B9E">
            <w:pPr>
              <w:jc w:val="center"/>
              <w:rPr>
                <w:rFonts w:eastAsiaTheme="minorEastAsia"/>
                <w:color w:val="000000"/>
                <w:szCs w:val="21"/>
                <w:highlight w:val="none"/>
              </w:rPr>
            </w:pPr>
            <w:r>
              <w:rPr>
                <w:color w:val="000000"/>
                <w:szCs w:val="21"/>
                <w:highlight w:val="none"/>
              </w:rPr>
              <w:t>5.3</w:t>
            </w:r>
          </w:p>
        </w:tc>
        <w:tc>
          <w:tcPr>
            <w:tcW w:w="714" w:type="pct"/>
            <w:vAlign w:val="center"/>
          </w:tcPr>
          <w:p w14:paraId="2BE7B329">
            <w:pPr>
              <w:jc w:val="center"/>
              <w:rPr>
                <w:rFonts w:eastAsiaTheme="minorEastAsia"/>
                <w:color w:val="000000"/>
                <w:szCs w:val="21"/>
                <w:highlight w:val="none"/>
              </w:rPr>
            </w:pPr>
            <w:r>
              <w:rPr>
                <w:color w:val="000000"/>
                <w:szCs w:val="21"/>
                <w:highlight w:val="none"/>
              </w:rPr>
              <w:t>5.5</w:t>
            </w:r>
          </w:p>
        </w:tc>
        <w:tc>
          <w:tcPr>
            <w:tcW w:w="715" w:type="pct"/>
            <w:vAlign w:val="center"/>
          </w:tcPr>
          <w:p w14:paraId="7F7275F7">
            <w:pPr>
              <w:jc w:val="center"/>
              <w:rPr>
                <w:rFonts w:eastAsiaTheme="minorEastAsia"/>
                <w:color w:val="000000"/>
                <w:szCs w:val="21"/>
                <w:highlight w:val="none"/>
              </w:rPr>
            </w:pPr>
            <w:r>
              <w:rPr>
                <w:color w:val="000000"/>
                <w:szCs w:val="21"/>
                <w:highlight w:val="none"/>
              </w:rPr>
              <w:t>5.5</w:t>
            </w:r>
          </w:p>
        </w:tc>
        <w:tc>
          <w:tcPr>
            <w:tcW w:w="715" w:type="pct"/>
            <w:vAlign w:val="center"/>
          </w:tcPr>
          <w:p w14:paraId="074A4455">
            <w:pPr>
              <w:jc w:val="center"/>
              <w:rPr>
                <w:rFonts w:eastAsiaTheme="minorEastAsia"/>
                <w:color w:val="000000"/>
                <w:szCs w:val="21"/>
                <w:highlight w:val="none"/>
              </w:rPr>
            </w:pPr>
            <w:r>
              <w:rPr>
                <w:color w:val="000000"/>
                <w:szCs w:val="21"/>
                <w:highlight w:val="none"/>
              </w:rPr>
              <w:t>16.3</w:t>
            </w:r>
          </w:p>
        </w:tc>
        <w:tc>
          <w:tcPr>
            <w:tcW w:w="714" w:type="pct"/>
            <w:vMerge w:val="continue"/>
            <w:vAlign w:val="center"/>
          </w:tcPr>
          <w:p w14:paraId="49AA4567">
            <w:pPr>
              <w:jc w:val="center"/>
              <w:rPr>
                <w:rFonts w:eastAsiaTheme="minorEastAsia"/>
                <w:szCs w:val="21"/>
                <w:highlight w:val="none"/>
              </w:rPr>
            </w:pPr>
          </w:p>
        </w:tc>
      </w:tr>
      <w:bookmarkEnd w:id="40"/>
      <w:tr w14:paraId="3A1F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44375F0B">
            <w:pPr>
              <w:jc w:val="center"/>
              <w:rPr>
                <w:rFonts w:eastAsiaTheme="minorEastAsia"/>
                <w:szCs w:val="21"/>
                <w:highlight w:val="none"/>
              </w:rPr>
            </w:pPr>
            <w:r>
              <w:rPr>
                <w:rFonts w:eastAsiaTheme="minorEastAsia"/>
                <w:szCs w:val="21"/>
                <w:highlight w:val="none"/>
              </w:rPr>
              <w:t>7</w:t>
            </w:r>
          </w:p>
        </w:tc>
        <w:tc>
          <w:tcPr>
            <w:tcW w:w="1326" w:type="dxa"/>
            <w:vAlign w:val="center"/>
          </w:tcPr>
          <w:p w14:paraId="1B46145F">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6A883F26">
            <w:pPr>
              <w:jc w:val="center"/>
              <w:rPr>
                <w:rFonts w:eastAsiaTheme="minorEastAsia"/>
                <w:color w:val="000000"/>
                <w:szCs w:val="21"/>
                <w:highlight w:val="none"/>
              </w:rPr>
            </w:pPr>
            <w:r>
              <w:rPr>
                <w:color w:val="000000"/>
                <w:szCs w:val="21"/>
                <w:highlight w:val="none"/>
              </w:rPr>
              <w:t>6.1</w:t>
            </w:r>
          </w:p>
        </w:tc>
        <w:tc>
          <w:tcPr>
            <w:tcW w:w="714" w:type="pct"/>
            <w:vAlign w:val="center"/>
          </w:tcPr>
          <w:p w14:paraId="07EB8F51">
            <w:pPr>
              <w:jc w:val="center"/>
              <w:rPr>
                <w:rFonts w:eastAsiaTheme="minorEastAsia"/>
                <w:color w:val="000000"/>
                <w:szCs w:val="21"/>
                <w:highlight w:val="none"/>
              </w:rPr>
            </w:pPr>
            <w:r>
              <w:rPr>
                <w:color w:val="000000"/>
                <w:szCs w:val="21"/>
                <w:highlight w:val="none"/>
              </w:rPr>
              <w:t>6.2</w:t>
            </w:r>
          </w:p>
        </w:tc>
        <w:tc>
          <w:tcPr>
            <w:tcW w:w="715" w:type="pct"/>
            <w:vAlign w:val="center"/>
          </w:tcPr>
          <w:p w14:paraId="72E5C939">
            <w:pPr>
              <w:jc w:val="center"/>
              <w:rPr>
                <w:rFonts w:eastAsiaTheme="minorEastAsia"/>
                <w:color w:val="000000"/>
                <w:szCs w:val="21"/>
                <w:highlight w:val="none"/>
              </w:rPr>
            </w:pPr>
            <w:r>
              <w:rPr>
                <w:color w:val="000000"/>
                <w:szCs w:val="21"/>
                <w:highlight w:val="none"/>
              </w:rPr>
              <w:t>6.1</w:t>
            </w:r>
          </w:p>
        </w:tc>
        <w:tc>
          <w:tcPr>
            <w:tcW w:w="715" w:type="pct"/>
            <w:vAlign w:val="center"/>
          </w:tcPr>
          <w:p w14:paraId="746595C0">
            <w:pPr>
              <w:jc w:val="center"/>
              <w:rPr>
                <w:rFonts w:eastAsiaTheme="minorEastAsia"/>
                <w:color w:val="000000"/>
                <w:szCs w:val="21"/>
                <w:highlight w:val="none"/>
              </w:rPr>
            </w:pPr>
            <w:r>
              <w:rPr>
                <w:color w:val="000000"/>
                <w:szCs w:val="21"/>
                <w:highlight w:val="none"/>
              </w:rPr>
              <w:t>18.4</w:t>
            </w:r>
          </w:p>
        </w:tc>
        <w:tc>
          <w:tcPr>
            <w:tcW w:w="714" w:type="pct"/>
            <w:vMerge w:val="restart"/>
            <w:vAlign w:val="center"/>
          </w:tcPr>
          <w:p w14:paraId="782EE54D">
            <w:pPr>
              <w:jc w:val="center"/>
              <w:rPr>
                <w:rFonts w:eastAsiaTheme="minorEastAsia"/>
                <w:szCs w:val="21"/>
                <w:highlight w:val="none"/>
              </w:rPr>
            </w:pPr>
            <w:r>
              <w:rPr>
                <w:color w:val="000000"/>
                <w:szCs w:val="21"/>
                <w:highlight w:val="none"/>
              </w:rPr>
              <w:t>37.1</w:t>
            </w:r>
          </w:p>
        </w:tc>
      </w:tr>
      <w:tr w14:paraId="7524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40820955">
            <w:pPr>
              <w:jc w:val="center"/>
              <w:rPr>
                <w:rFonts w:eastAsiaTheme="minorEastAsia"/>
                <w:szCs w:val="21"/>
                <w:highlight w:val="none"/>
              </w:rPr>
            </w:pPr>
          </w:p>
        </w:tc>
        <w:tc>
          <w:tcPr>
            <w:tcW w:w="1326" w:type="dxa"/>
            <w:vAlign w:val="center"/>
          </w:tcPr>
          <w:p w14:paraId="57ACE190">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1E56296E">
            <w:pPr>
              <w:jc w:val="center"/>
              <w:rPr>
                <w:rFonts w:eastAsiaTheme="minorEastAsia"/>
                <w:color w:val="000000"/>
                <w:szCs w:val="21"/>
                <w:highlight w:val="none"/>
              </w:rPr>
            </w:pPr>
            <w:r>
              <w:rPr>
                <w:color w:val="000000"/>
                <w:szCs w:val="21"/>
                <w:highlight w:val="none"/>
              </w:rPr>
              <w:t>6.2</w:t>
            </w:r>
          </w:p>
        </w:tc>
        <w:tc>
          <w:tcPr>
            <w:tcW w:w="714" w:type="pct"/>
            <w:vAlign w:val="center"/>
          </w:tcPr>
          <w:p w14:paraId="6A802BD0">
            <w:pPr>
              <w:jc w:val="center"/>
              <w:rPr>
                <w:rFonts w:eastAsiaTheme="minorEastAsia"/>
                <w:color w:val="000000"/>
                <w:szCs w:val="21"/>
                <w:highlight w:val="none"/>
              </w:rPr>
            </w:pPr>
            <w:r>
              <w:rPr>
                <w:color w:val="000000"/>
                <w:szCs w:val="21"/>
                <w:highlight w:val="none"/>
              </w:rPr>
              <w:t>6.2</w:t>
            </w:r>
          </w:p>
        </w:tc>
        <w:tc>
          <w:tcPr>
            <w:tcW w:w="715" w:type="pct"/>
            <w:vAlign w:val="center"/>
          </w:tcPr>
          <w:p w14:paraId="521DB602">
            <w:pPr>
              <w:jc w:val="center"/>
              <w:rPr>
                <w:rFonts w:eastAsiaTheme="minorEastAsia"/>
                <w:color w:val="000000"/>
                <w:szCs w:val="21"/>
                <w:highlight w:val="none"/>
              </w:rPr>
            </w:pPr>
            <w:r>
              <w:rPr>
                <w:color w:val="000000"/>
                <w:szCs w:val="21"/>
                <w:highlight w:val="none"/>
              </w:rPr>
              <w:t>6.3</w:t>
            </w:r>
          </w:p>
        </w:tc>
        <w:tc>
          <w:tcPr>
            <w:tcW w:w="715" w:type="pct"/>
            <w:vAlign w:val="center"/>
          </w:tcPr>
          <w:p w14:paraId="58DC56B2">
            <w:pPr>
              <w:jc w:val="center"/>
              <w:rPr>
                <w:rFonts w:eastAsiaTheme="minorEastAsia"/>
                <w:color w:val="000000"/>
                <w:szCs w:val="21"/>
                <w:highlight w:val="none"/>
              </w:rPr>
            </w:pPr>
            <w:r>
              <w:rPr>
                <w:color w:val="000000"/>
                <w:szCs w:val="21"/>
                <w:highlight w:val="none"/>
              </w:rPr>
              <w:t>18.7</w:t>
            </w:r>
          </w:p>
        </w:tc>
        <w:tc>
          <w:tcPr>
            <w:tcW w:w="714" w:type="pct"/>
            <w:vMerge w:val="continue"/>
            <w:vAlign w:val="center"/>
          </w:tcPr>
          <w:p w14:paraId="17F6E10E">
            <w:pPr>
              <w:jc w:val="center"/>
              <w:rPr>
                <w:rFonts w:eastAsiaTheme="minorEastAsia"/>
                <w:szCs w:val="21"/>
                <w:highlight w:val="none"/>
              </w:rPr>
            </w:pPr>
          </w:p>
        </w:tc>
      </w:tr>
    </w:tbl>
    <w:p w14:paraId="107816F6">
      <w:pPr>
        <w:widowControl/>
        <w:snapToGrid w:val="0"/>
        <w:spacing w:line="300" w:lineRule="auto"/>
        <w:ind w:firstLine="442"/>
        <w:rPr>
          <w:sz w:val="24"/>
          <w:highlight w:val="none"/>
        </w:rPr>
      </w:pPr>
    </w:p>
    <w:p w14:paraId="7B9053F4">
      <w:pPr>
        <w:widowControl/>
        <w:snapToGrid w:val="0"/>
        <w:spacing w:line="300" w:lineRule="auto"/>
        <w:ind w:firstLine="442"/>
        <w:rPr>
          <w:sz w:val="24"/>
          <w:highlight w:val="none"/>
        </w:rPr>
      </w:pPr>
      <w:r>
        <w:rPr>
          <w:sz w:val="24"/>
          <w:highlight w:val="none"/>
        </w:rPr>
        <w:t>将表</w:t>
      </w:r>
      <w:r>
        <w:rPr>
          <w:rFonts w:hint="eastAsia"/>
          <w:sz w:val="24"/>
          <w:highlight w:val="none"/>
        </w:rPr>
        <w:t>7</w:t>
      </w:r>
      <w:r>
        <w:rPr>
          <w:sz w:val="24"/>
          <w:highlight w:val="none"/>
        </w:rPr>
        <w:t>中的数值应用于下列公式以产生ANOVA表。</w:t>
      </w:r>
    </w:p>
    <w:p w14:paraId="26788FFA">
      <w:pPr>
        <w:widowControl/>
        <w:snapToGrid w:val="0"/>
        <w:spacing w:line="300" w:lineRule="auto"/>
        <w:ind w:firstLine="442"/>
        <w:rPr>
          <w:sz w:val="24"/>
          <w:highlight w:val="none"/>
        </w:rPr>
      </w:pPr>
    </w:p>
    <w:p w14:paraId="1958F5DC">
      <w:pPr>
        <w:widowControl/>
        <w:snapToGrid w:val="0"/>
        <w:spacing w:line="264" w:lineRule="auto"/>
        <w:ind w:firstLine="440"/>
        <w:jc w:val="center"/>
        <w:rPr>
          <w:sz w:val="22"/>
          <w:highlight w:val="none"/>
        </w:rPr>
      </w:pPr>
      <m:oMath>
        <m:r>
          <m:rPr/>
          <w:rPr>
            <w:rFonts w:ascii="Cambria Math" w:hAnsi="Cambria Math"/>
            <w:sz w:val="22"/>
            <w:highlight w:val="none"/>
          </w:rPr>
          <m:t>T=</m:t>
        </m:r>
        <m:nary>
          <m:naryPr>
            <m:chr m:val="∑"/>
            <m:limLoc m:val="undOvr"/>
            <m:supHide m:val="1"/>
            <m:ctrlPr>
              <w:rPr>
                <w:rFonts w:ascii="Cambria Math" w:hAnsi="Cambria Math"/>
                <w:i/>
                <w:sz w:val="22"/>
                <w:highlight w:val="none"/>
              </w:rPr>
            </m:ctrlPr>
          </m:naryPr>
          <m:sub>
            <m:r>
              <m:rPr/>
              <w:rPr>
                <w:rFonts w:ascii="Cambria Math" w:hAnsi="Cambria Math"/>
                <w:sz w:val="22"/>
                <w:highlight w:val="none"/>
              </w:rPr>
              <m:t>i</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j</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k</m:t>
                    </m:r>
                    <m:ctrlPr>
                      <w:rPr>
                        <w:rFonts w:ascii="Cambria Math" w:hAnsi="Cambria Math"/>
                        <w:i/>
                        <w:sz w:val="22"/>
                        <w:highlight w:val="none"/>
                      </w:rPr>
                    </m:ctrlPr>
                  </m:sub>
                  <m:sup>
                    <m:ctrlPr>
                      <w:rPr>
                        <w:rFonts w:ascii="Cambria Math" w:hAnsi="Cambria Math"/>
                        <w:i/>
                        <w:sz w:val="22"/>
                        <w:highlight w:val="none"/>
                      </w:rPr>
                    </m:ctrlPr>
                  </m:sup>
                  <m:e>
                    <m:sSub>
                      <m:sSubPr>
                        <m:ctrlPr>
                          <w:rPr>
                            <w:rFonts w:ascii="Cambria Math" w:hAnsi="Cambria Math"/>
                            <w:i/>
                            <w:sz w:val="22"/>
                            <w:highlight w:val="none"/>
                          </w:rPr>
                        </m:ctrlPr>
                      </m:sSubPr>
                      <m:e>
                        <m:r>
                          <m:rPr/>
                          <w:rPr>
                            <w:rFonts w:ascii="Cambria Math" w:hAnsi="Cambria Math"/>
                            <w:sz w:val="22"/>
                            <w:highlight w:val="none"/>
                          </w:rPr>
                          <m:t>y</m:t>
                        </m:r>
                        <m:ctrlPr>
                          <w:rPr>
                            <w:rFonts w:ascii="Cambria Math" w:hAnsi="Cambria Math"/>
                            <w:i/>
                            <w:sz w:val="22"/>
                            <w:highlight w:val="none"/>
                          </w:rPr>
                        </m:ctrlPr>
                      </m:e>
                      <m:sub>
                        <m:r>
                          <m:rPr/>
                          <w:rPr>
                            <w:rFonts w:ascii="Cambria Math" w:hAnsi="Cambria Math"/>
                            <w:sz w:val="22"/>
                            <w:highlight w:val="none"/>
                          </w:rPr>
                          <m:t>ijk</m:t>
                        </m:r>
                        <m:ctrlPr>
                          <w:rPr>
                            <w:rFonts w:ascii="Cambria Math" w:hAnsi="Cambria Math"/>
                            <w:i/>
                            <w:sz w:val="22"/>
                            <w:highlight w:val="none"/>
                          </w:rPr>
                        </m:ctrlPr>
                      </m:sub>
                    </m:sSub>
                    <m:ctrlPr>
                      <w:rPr>
                        <w:rFonts w:ascii="Cambria Math" w:hAnsi="Cambria Math"/>
                        <w:i/>
                        <w:sz w:val="22"/>
                        <w:highlight w:val="none"/>
                      </w:rPr>
                    </m:ctrlPr>
                  </m:e>
                </m:nary>
                <m:ctrlPr>
                  <w:rPr>
                    <w:rFonts w:ascii="Cambria Math" w:hAnsi="Cambria Math"/>
                    <w:i/>
                    <w:sz w:val="22"/>
                    <w:highlight w:val="none"/>
                  </w:rPr>
                </m:ctrlPr>
              </m:e>
            </m:nary>
            <m:ctrlPr>
              <w:rPr>
                <w:rFonts w:ascii="Cambria Math" w:hAnsi="Cambria Math"/>
                <w:i/>
                <w:sz w:val="22"/>
                <w:highlight w:val="none"/>
              </w:rPr>
            </m:ctrlPr>
          </m:e>
        </m:nary>
      </m:oMath>
      <w:r>
        <w:rPr>
          <w:sz w:val="22"/>
          <w:highlight w:val="none"/>
        </w:rPr>
        <w:t xml:space="preserve">= </w:t>
      </w:r>
      <w:r>
        <w:rPr>
          <w:rFonts w:hint="eastAsia"/>
          <w:sz w:val="22"/>
          <w:highlight w:val="none"/>
        </w:rPr>
        <w:t>217.4</w:t>
      </w:r>
    </w:p>
    <w:p w14:paraId="02C9DB7E">
      <w:pPr>
        <w:widowControl/>
        <w:snapToGrid w:val="0"/>
        <w:spacing w:line="264" w:lineRule="auto"/>
        <w:ind w:firstLine="440"/>
        <w:jc w:val="center"/>
        <w:rPr>
          <w:sz w:val="22"/>
          <w:highlight w:val="none"/>
        </w:rPr>
      </w:pPr>
    </w:p>
    <w:p w14:paraId="611C0E6C">
      <w:pPr>
        <w:widowControl/>
        <w:snapToGrid w:val="0"/>
        <w:spacing w:line="264" w:lineRule="auto"/>
        <w:ind w:firstLine="440"/>
        <w:jc w:val="center"/>
        <w:rPr>
          <w:sz w:val="22"/>
          <w:highlight w:val="none"/>
        </w:rPr>
      </w:pPr>
      <m:oMathPara>
        <m:oMath>
          <m:sSub>
            <m:sSubPr>
              <m:ctrlPr>
                <w:rPr>
                  <w:rFonts w:ascii="Cambria Math" w:hAnsi="Cambria Math"/>
                  <w:i/>
                  <w:sz w:val="22"/>
                  <w:highlight w:val="none"/>
                </w:rPr>
              </m:ctrlPr>
            </m:sSubPr>
            <m:e>
              <m:r>
                <m:rPr/>
                <w:rPr>
                  <w:rFonts w:ascii="Cambria Math" w:hAnsi="Cambria Math"/>
                  <w:sz w:val="22"/>
                  <w:highlight w:val="none"/>
                </w:rPr>
                <m:t>S</m:t>
              </m:r>
              <m:ctrlPr>
                <w:rPr>
                  <w:rFonts w:ascii="Cambria Math" w:hAnsi="Cambria Math"/>
                  <w:i/>
                  <w:sz w:val="22"/>
                  <w:highlight w:val="none"/>
                </w:rPr>
              </m:ctrlPr>
            </m:e>
            <m:sub>
              <m:r>
                <m:rPr>
                  <m:sty m:val="p"/>
                </m:rPr>
                <w:rPr>
                  <w:rFonts w:ascii="Cambria Math" w:hAnsi="Cambria Math"/>
                  <w:sz w:val="22"/>
                  <w:highlight w:val="none"/>
                </w:rPr>
                <m:t>T</m:t>
              </m:r>
              <m:ctrlPr>
                <w:rPr>
                  <w:rFonts w:ascii="Cambria Math" w:hAnsi="Cambria Math"/>
                  <w:i/>
                  <w:sz w:val="22"/>
                  <w:highlight w:val="none"/>
                </w:rPr>
              </m:ctrlPr>
            </m:sub>
          </m:sSub>
          <m:r>
            <m:rPr/>
            <w:rPr>
              <w:rFonts w:ascii="Cambria Math" w:hAnsi="Cambria Math"/>
              <w:sz w:val="22"/>
              <w:highlight w:val="none"/>
            </w:rPr>
            <m:t>=</m:t>
          </m:r>
          <m:nary>
            <m:naryPr>
              <m:chr m:val="∑"/>
              <m:limLoc m:val="undOvr"/>
              <m:supHide m:val="1"/>
              <m:ctrlPr>
                <w:rPr>
                  <w:rFonts w:ascii="Cambria Math" w:hAnsi="Cambria Math"/>
                  <w:i/>
                  <w:sz w:val="22"/>
                  <w:highlight w:val="none"/>
                </w:rPr>
              </m:ctrlPr>
            </m:naryPr>
            <m:sub>
              <m:r>
                <m:rPr/>
                <w:rPr>
                  <w:rFonts w:ascii="Cambria Math" w:hAnsi="Cambria Math"/>
                  <w:sz w:val="22"/>
                  <w:highlight w:val="none"/>
                </w:rPr>
                <m:t>i</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j</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k</m:t>
                      </m:r>
                      <m:ctrlPr>
                        <w:rPr>
                          <w:rFonts w:ascii="Cambria Math" w:hAnsi="Cambria Math"/>
                          <w:i/>
                          <w:sz w:val="22"/>
                          <w:highlight w:val="none"/>
                        </w:rPr>
                      </m:ctrlPr>
                    </m:sub>
                    <m:sup>
                      <m:ctrlPr>
                        <w:rPr>
                          <w:rFonts w:ascii="Cambria Math" w:hAnsi="Cambria Math"/>
                          <w:i/>
                          <w:sz w:val="22"/>
                          <w:highlight w:val="none"/>
                        </w:rPr>
                      </m:ctrlPr>
                    </m:sup>
                    <m:e>
                      <m:sSup>
                        <m:sSupPr>
                          <m:ctrlPr>
                            <w:rPr>
                              <w:rFonts w:ascii="Cambria Math" w:hAnsi="Cambria Math"/>
                              <w:i/>
                              <w:sz w:val="22"/>
                              <w:highlight w:val="none"/>
                            </w:rPr>
                          </m:ctrlPr>
                        </m:sSupPr>
                        <m:e>
                          <m:sSub>
                            <m:sSubPr>
                              <m:ctrlPr>
                                <w:rPr>
                                  <w:rFonts w:ascii="Cambria Math" w:hAnsi="Cambria Math"/>
                                  <w:i/>
                                  <w:sz w:val="22"/>
                                  <w:highlight w:val="none"/>
                                </w:rPr>
                              </m:ctrlPr>
                            </m:sSubPr>
                            <m:e>
                              <m:r>
                                <m:rPr/>
                                <w:rPr>
                                  <w:rFonts w:ascii="Cambria Math" w:hAnsi="Cambria Math"/>
                                  <w:sz w:val="22"/>
                                  <w:highlight w:val="none"/>
                                </w:rPr>
                                <m:t>y</m:t>
                              </m:r>
                              <m:ctrlPr>
                                <w:rPr>
                                  <w:rFonts w:ascii="Cambria Math" w:hAnsi="Cambria Math"/>
                                  <w:i/>
                                  <w:sz w:val="22"/>
                                  <w:highlight w:val="none"/>
                                </w:rPr>
                              </m:ctrlPr>
                            </m:e>
                            <m:sub>
                              <m:r>
                                <m:rPr/>
                                <w:rPr>
                                  <w:rFonts w:ascii="Cambria Math" w:hAnsi="Cambria Math"/>
                                  <w:sz w:val="22"/>
                                  <w:highlight w:val="none"/>
                                </w:rPr>
                                <m:t>ijk</m:t>
                              </m:r>
                              <m:ctrlPr>
                                <w:rPr>
                                  <w:rFonts w:ascii="Cambria Math" w:hAnsi="Cambria Math"/>
                                  <w:i/>
                                  <w:sz w:val="22"/>
                                  <w:highlight w:val="none"/>
                                </w:rPr>
                              </m:ctrlPr>
                            </m:sub>
                          </m:sSub>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r>
                        <m:rPr/>
                        <w:rPr>
                          <w:rFonts w:ascii="Cambria Math" w:hAnsi="Cambria Math"/>
                          <w:sz w:val="22"/>
                          <w:highlight w:val="none"/>
                        </w:rPr>
                        <m:t>−</m:t>
                      </m:r>
                      <m:f>
                        <m:fPr>
                          <m:ctrlPr>
                            <w:rPr>
                              <w:rFonts w:ascii="Cambria Math" w:hAnsi="Cambria Math"/>
                              <w:i/>
                              <w:sz w:val="22"/>
                              <w:highlight w:val="none"/>
                            </w:rPr>
                          </m:ctrlPr>
                        </m:fPr>
                        <m:num>
                          <m:sSup>
                            <m:sSupPr>
                              <m:ctrlPr>
                                <w:rPr>
                                  <w:rFonts w:ascii="Cambria Math" w:hAnsi="Cambria Math"/>
                                  <w:i/>
                                  <w:sz w:val="22"/>
                                  <w:highlight w:val="none"/>
                                </w:rPr>
                              </m:ctrlPr>
                            </m:sSupPr>
                            <m:e>
                              <m:r>
                                <m:rPr/>
                                <w:rPr>
                                  <w:rFonts w:ascii="Cambria Math" w:hAnsi="Cambria Math"/>
                                  <w:sz w:val="22"/>
                                  <w:highlight w:val="none"/>
                                </w:rPr>
                                <m:t>T</m:t>
                              </m:r>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num>
                        <m:den>
                          <m:r>
                            <m:rPr/>
                            <w:rPr>
                              <w:rFonts w:ascii="Cambria Math" w:hAnsi="Cambria Math"/>
                              <w:sz w:val="22"/>
                              <w:highlight w:val="none"/>
                            </w:rPr>
                            <m:t>pqn</m:t>
                          </m:r>
                          <m:ctrlPr>
                            <w:rPr>
                              <w:rFonts w:ascii="Cambria Math" w:hAnsi="Cambria Math"/>
                              <w:i/>
                              <w:sz w:val="22"/>
                              <w:highlight w:val="none"/>
                            </w:rPr>
                          </m:ctrlPr>
                        </m:den>
                      </m:f>
                      <m:r>
                        <m:rPr/>
                        <w:rPr>
                          <w:rFonts w:ascii="Cambria Math" w:hAnsi="Cambria Math"/>
                          <w:sz w:val="22"/>
                          <w:highlight w:val="none"/>
                        </w:rPr>
                        <m:t>=1320.06−</m:t>
                      </m:r>
                      <m:f>
                        <m:fPr>
                          <m:ctrlPr>
                            <w:rPr>
                              <w:rFonts w:ascii="Cambria Math" w:hAnsi="Cambria Math"/>
                              <w:i/>
                              <w:sz w:val="22"/>
                              <w:highlight w:val="none"/>
                            </w:rPr>
                          </m:ctrlPr>
                        </m:fPr>
                        <m:num>
                          <m:sSup>
                            <m:sSupPr>
                              <m:ctrlPr>
                                <w:rPr>
                                  <w:rFonts w:ascii="Cambria Math" w:hAnsi="Cambria Math"/>
                                  <w:sz w:val="22"/>
                                  <w:highlight w:val="none"/>
                                </w:rPr>
                              </m:ctrlPr>
                            </m:sSupPr>
                            <m:e>
                              <m:r>
                                <m:rPr>
                                  <m:sty m:val="p"/>
                                </m:rPr>
                                <w:rPr>
                                  <w:rFonts w:ascii="Cambria Math" w:hAnsi="Cambria Math"/>
                                  <w:sz w:val="22"/>
                                  <w:highlight w:val="none"/>
                                </w:rPr>
                                <m:t>217.4</m:t>
                              </m:r>
                              <m:ctrlPr>
                                <w:rPr>
                                  <w:rFonts w:ascii="Cambria Math" w:hAnsi="Cambria Math"/>
                                  <w:sz w:val="22"/>
                                  <w:highlight w:val="none"/>
                                </w:rPr>
                              </m:ctrlPr>
                            </m:e>
                            <m:sup>
                              <m:r>
                                <m:rPr>
                                  <m:sty m:val="p"/>
                                </m:rPr>
                                <w:rPr>
                                  <w:rFonts w:ascii="Cambria Math" w:hAnsi="Cambria Math"/>
                                  <w:sz w:val="22"/>
                                  <w:highlight w:val="none"/>
                                </w:rPr>
                                <m:t>2</m:t>
                              </m:r>
                              <m:ctrlPr>
                                <w:rPr>
                                  <w:rFonts w:ascii="Cambria Math" w:hAnsi="Cambria Math"/>
                                  <w:sz w:val="22"/>
                                  <w:highlight w:val="none"/>
                                </w:rPr>
                              </m:ctrlPr>
                            </m:sup>
                          </m:sSup>
                          <m:ctrlPr>
                            <w:rPr>
                              <w:rFonts w:ascii="Cambria Math" w:hAnsi="Cambria Math"/>
                              <w:i/>
                              <w:sz w:val="22"/>
                              <w:highlight w:val="none"/>
                            </w:rPr>
                          </m:ctrlPr>
                        </m:num>
                        <m:den>
                          <m:r>
                            <m:rPr/>
                            <w:rPr>
                              <w:rFonts w:ascii="Cambria Math" w:hAnsi="Cambria Math"/>
                              <w:sz w:val="22"/>
                              <w:highlight w:val="none"/>
                            </w:rPr>
                            <m:t>6×2×3</m:t>
                          </m:r>
                          <m:ctrlPr>
                            <w:rPr>
                              <w:rFonts w:ascii="Cambria Math" w:hAnsi="Cambria Math"/>
                              <w:i/>
                              <w:sz w:val="22"/>
                              <w:highlight w:val="none"/>
                            </w:rPr>
                          </m:ctrlPr>
                        </m:den>
                      </m:f>
                      <m:ctrlPr>
                        <w:rPr>
                          <w:rFonts w:ascii="Cambria Math" w:hAnsi="Cambria Math"/>
                          <w:i/>
                          <w:sz w:val="22"/>
                          <w:highlight w:val="none"/>
                        </w:rPr>
                      </m:ctrlPr>
                    </m:e>
                  </m:nary>
                  <m:ctrlPr>
                    <w:rPr>
                      <w:rFonts w:ascii="Cambria Math" w:hAnsi="Cambria Math"/>
                      <w:i/>
                      <w:sz w:val="22"/>
                      <w:highlight w:val="none"/>
                    </w:rPr>
                  </m:ctrlPr>
                </m:e>
              </m:nary>
              <m:ctrlPr>
                <w:rPr>
                  <w:rFonts w:ascii="Cambria Math" w:hAnsi="Cambria Math"/>
                  <w:i/>
                  <w:sz w:val="22"/>
                  <w:highlight w:val="none"/>
                </w:rPr>
              </m:ctrlPr>
            </m:e>
          </m:nary>
          <m:r>
            <m:rPr/>
            <w:rPr>
              <w:rFonts w:ascii="Cambria Math" w:hAnsi="Cambria Math"/>
              <w:sz w:val="22"/>
              <w:highlight w:val="none"/>
            </w:rPr>
            <m:t>=7.21</m:t>
          </m:r>
        </m:oMath>
      </m:oMathPara>
    </w:p>
    <w:p w14:paraId="7BA975DA">
      <w:pPr>
        <w:widowControl/>
        <w:snapToGrid w:val="0"/>
        <w:spacing w:line="264" w:lineRule="auto"/>
        <w:ind w:firstLine="440"/>
        <w:jc w:val="center"/>
        <w:rPr>
          <w:sz w:val="22"/>
          <w:highlight w:val="none"/>
        </w:rPr>
      </w:pPr>
    </w:p>
    <w:p w14:paraId="7A5F4FEA">
      <w:pPr>
        <w:widowControl/>
        <w:snapToGrid w:val="0"/>
        <w:spacing w:line="264" w:lineRule="auto"/>
        <w:ind w:firstLine="440"/>
        <w:jc w:val="center"/>
        <w:rPr>
          <w:sz w:val="22"/>
          <w:highlight w:val="none"/>
        </w:rPr>
      </w:pPr>
      <m:oMathPara>
        <m:oMath>
          <m:sSub>
            <m:sSubPr>
              <m:ctrlPr>
                <w:rPr>
                  <w:rFonts w:ascii="Cambria Math" w:hAnsi="Cambria Math"/>
                  <w:i/>
                  <w:sz w:val="22"/>
                  <w:highlight w:val="none"/>
                </w:rPr>
              </m:ctrlPr>
            </m:sSubPr>
            <m:e>
              <m:r>
                <m:rPr/>
                <w:rPr>
                  <w:rFonts w:ascii="Cambria Math" w:hAnsi="Cambria Math"/>
                  <w:sz w:val="22"/>
                  <w:highlight w:val="none"/>
                </w:rPr>
                <m:t>S</m:t>
              </m:r>
              <m:ctrlPr>
                <w:rPr>
                  <w:rFonts w:ascii="Cambria Math" w:hAnsi="Cambria Math"/>
                  <w:i/>
                  <w:sz w:val="22"/>
                  <w:highlight w:val="none"/>
                </w:rPr>
              </m:ctrlPr>
            </m:e>
            <m:sub>
              <m:r>
                <m:rPr>
                  <m:sty m:val="p"/>
                </m:rPr>
                <w:rPr>
                  <w:rFonts w:ascii="Cambria Math" w:hAnsi="Cambria Math"/>
                  <w:sz w:val="22"/>
                  <w:highlight w:val="none"/>
                </w:rPr>
                <m:t>L</m:t>
              </m:r>
              <m:ctrlPr>
                <w:rPr>
                  <w:rFonts w:ascii="Cambria Math" w:hAnsi="Cambria Math"/>
                  <w:i/>
                  <w:sz w:val="22"/>
                  <w:highlight w:val="none"/>
                </w:rPr>
              </m:ctrlPr>
            </m:sub>
          </m:sSub>
          <m:r>
            <m:rPr/>
            <w:rPr>
              <w:rFonts w:ascii="Cambria Math" w:hAnsi="Cambria Math"/>
              <w:sz w:val="22"/>
              <w:highlight w:val="none"/>
            </w:rPr>
            <m:t>=</m:t>
          </m:r>
          <m:nary>
            <m:naryPr>
              <m:chr m:val="∑"/>
              <m:limLoc m:val="undOvr"/>
              <m:supHide m:val="1"/>
              <m:ctrlPr>
                <w:rPr>
                  <w:rFonts w:ascii="Cambria Math" w:hAnsi="Cambria Math"/>
                  <w:i/>
                  <w:sz w:val="22"/>
                  <w:highlight w:val="none"/>
                </w:rPr>
              </m:ctrlPr>
            </m:naryPr>
            <m:sub>
              <m:r>
                <m:rPr/>
                <w:rPr>
                  <w:rFonts w:ascii="Cambria Math" w:hAnsi="Cambria Math"/>
                  <w:sz w:val="22"/>
                  <w:highlight w:val="none"/>
                </w:rPr>
                <m:t>i</m:t>
              </m:r>
              <m:ctrlPr>
                <w:rPr>
                  <w:rFonts w:ascii="Cambria Math" w:hAnsi="Cambria Math"/>
                  <w:i/>
                  <w:sz w:val="22"/>
                  <w:highlight w:val="none"/>
                </w:rPr>
              </m:ctrlPr>
            </m:sub>
            <m:sup>
              <m:ctrlPr>
                <w:rPr>
                  <w:rFonts w:ascii="Cambria Math" w:hAnsi="Cambria Math"/>
                  <w:i/>
                  <w:sz w:val="22"/>
                  <w:highlight w:val="none"/>
                </w:rPr>
              </m:ctrlPr>
            </m:sup>
            <m:e>
              <m:f>
                <m:fPr>
                  <m:ctrlPr>
                    <w:rPr>
                      <w:rFonts w:ascii="Cambria Math" w:hAnsi="Cambria Math"/>
                      <w:i/>
                      <w:sz w:val="22"/>
                      <w:highlight w:val="none"/>
                    </w:rPr>
                  </m:ctrlPr>
                </m:fPr>
                <m:num>
                  <m:sSup>
                    <m:sSupPr>
                      <m:ctrlPr>
                        <w:rPr>
                          <w:rFonts w:ascii="Cambria Math" w:hAnsi="Cambria Math"/>
                          <w:i/>
                          <w:sz w:val="22"/>
                          <w:highlight w:val="none"/>
                        </w:rPr>
                      </m:ctrlPr>
                    </m:sSupPr>
                    <m:e>
                      <m:sSub>
                        <m:sSubPr>
                          <m:ctrlPr>
                            <w:rPr>
                              <w:rFonts w:ascii="Cambria Math" w:hAnsi="Cambria Math"/>
                              <w:i/>
                              <w:sz w:val="22"/>
                              <w:highlight w:val="none"/>
                            </w:rPr>
                          </m:ctrlPr>
                        </m:sSubPr>
                        <m:e>
                          <m:r>
                            <m:rPr/>
                            <w:rPr>
                              <w:rFonts w:ascii="Cambria Math" w:hAnsi="Cambria Math"/>
                              <w:sz w:val="22"/>
                              <w:highlight w:val="none"/>
                            </w:rPr>
                            <m:t>T</m:t>
                          </m:r>
                          <m:ctrlPr>
                            <w:rPr>
                              <w:rFonts w:ascii="Cambria Math" w:hAnsi="Cambria Math"/>
                              <w:i/>
                              <w:sz w:val="22"/>
                              <w:highlight w:val="none"/>
                            </w:rPr>
                          </m:ctrlPr>
                        </m:e>
                        <m:sub>
                          <m:r>
                            <m:rPr/>
                            <w:rPr>
                              <w:rFonts w:ascii="Cambria Math" w:hAnsi="Cambria Math"/>
                              <w:sz w:val="22"/>
                              <w:highlight w:val="none"/>
                            </w:rPr>
                            <m:t>i</m:t>
                          </m:r>
                          <m:ctrlPr>
                            <w:rPr>
                              <w:rFonts w:ascii="Cambria Math" w:hAnsi="Cambria Math"/>
                              <w:i/>
                              <w:sz w:val="22"/>
                              <w:highlight w:val="none"/>
                            </w:rPr>
                          </m:ctrlPr>
                        </m:sub>
                      </m:sSub>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num>
                <m:den>
                  <m:r>
                    <m:rPr/>
                    <w:rPr>
                      <w:rFonts w:ascii="Cambria Math" w:hAnsi="Cambria Math"/>
                      <w:sz w:val="22"/>
                      <w:highlight w:val="none"/>
                    </w:rPr>
                    <m:t>qn</m:t>
                  </m:r>
                  <m:ctrlPr>
                    <w:rPr>
                      <w:rFonts w:ascii="Cambria Math" w:hAnsi="Cambria Math"/>
                      <w:i/>
                      <w:sz w:val="22"/>
                      <w:highlight w:val="none"/>
                    </w:rPr>
                  </m:ctrlPr>
                </m:den>
              </m:f>
              <m:ctrlPr>
                <w:rPr>
                  <w:rFonts w:ascii="Cambria Math" w:hAnsi="Cambria Math"/>
                  <w:i/>
                  <w:sz w:val="22"/>
                  <w:highlight w:val="none"/>
                </w:rPr>
              </m:ctrlPr>
            </m:e>
          </m:nary>
          <m:r>
            <m:rPr/>
            <w:rPr>
              <w:rFonts w:ascii="Cambria Math" w:hAnsi="Cambria Math"/>
              <w:sz w:val="22"/>
              <w:highlight w:val="none"/>
            </w:rPr>
            <m:t>−</m:t>
          </m:r>
          <m:f>
            <m:fPr>
              <m:ctrlPr>
                <w:rPr>
                  <w:rFonts w:ascii="Cambria Math" w:hAnsi="Cambria Math"/>
                  <w:i/>
                  <w:sz w:val="22"/>
                  <w:highlight w:val="none"/>
                </w:rPr>
              </m:ctrlPr>
            </m:fPr>
            <m:num>
              <m:sSup>
                <m:sSupPr>
                  <m:ctrlPr>
                    <w:rPr>
                      <w:rFonts w:ascii="Cambria Math" w:hAnsi="Cambria Math"/>
                      <w:i/>
                      <w:sz w:val="22"/>
                      <w:highlight w:val="none"/>
                    </w:rPr>
                  </m:ctrlPr>
                </m:sSupPr>
                <m:e>
                  <m:r>
                    <m:rPr/>
                    <w:rPr>
                      <w:rFonts w:ascii="Cambria Math" w:hAnsi="Cambria Math"/>
                      <w:sz w:val="22"/>
                      <w:highlight w:val="none"/>
                    </w:rPr>
                    <m:t>T</m:t>
                  </m:r>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num>
            <m:den>
              <m:r>
                <m:rPr/>
                <w:rPr>
                  <w:rFonts w:ascii="Cambria Math" w:hAnsi="Cambria Math"/>
                  <w:sz w:val="22"/>
                  <w:highlight w:val="none"/>
                </w:rPr>
                <m:t>pqn</m:t>
              </m:r>
              <m:ctrlPr>
                <w:rPr>
                  <w:rFonts w:ascii="Cambria Math" w:hAnsi="Cambria Math"/>
                  <w:i/>
                  <w:sz w:val="22"/>
                  <w:highlight w:val="none"/>
                </w:rPr>
              </m:ctrlPr>
            </m:den>
          </m:f>
          <m:r>
            <m:rPr/>
            <w:rPr>
              <w:rFonts w:ascii="Cambria Math" w:hAnsi="Cambria Math"/>
              <w:sz w:val="22"/>
              <w:highlight w:val="none"/>
            </w:rPr>
            <m:t>=</m:t>
          </m:r>
          <m:f>
            <m:fPr>
              <m:ctrlPr>
                <w:rPr>
                  <w:rFonts w:ascii="Cambria Math" w:hAnsi="Cambria Math"/>
                  <w:i/>
                  <w:sz w:val="22"/>
                  <w:highlight w:val="none"/>
                </w:rPr>
              </m:ctrlPr>
            </m:fPr>
            <m:num>
              <m:r>
                <m:rPr/>
                <w:rPr>
                  <w:rFonts w:ascii="Cambria Math" w:hAnsi="Cambria Math"/>
                  <w:sz w:val="22"/>
                  <w:highlight w:val="none"/>
                </w:rPr>
                <m:t>7910.30</m:t>
              </m:r>
              <m:ctrlPr>
                <w:rPr>
                  <w:rFonts w:ascii="Cambria Math" w:hAnsi="Cambria Math"/>
                  <w:i/>
                  <w:sz w:val="22"/>
                  <w:highlight w:val="none"/>
                </w:rPr>
              </m:ctrlPr>
            </m:num>
            <m:den>
              <m:r>
                <m:rPr/>
                <w:rPr>
                  <w:rFonts w:ascii="Cambria Math" w:hAnsi="Cambria Math"/>
                  <w:sz w:val="22"/>
                  <w:highlight w:val="none"/>
                </w:rPr>
                <m:t>2×3</m:t>
              </m:r>
              <m:ctrlPr>
                <w:rPr>
                  <w:rFonts w:ascii="Cambria Math" w:hAnsi="Cambria Math"/>
                  <w:i/>
                  <w:sz w:val="22"/>
                  <w:highlight w:val="none"/>
                </w:rPr>
              </m:ctrlPr>
            </m:den>
          </m:f>
          <m:r>
            <m:rPr/>
            <w:rPr>
              <w:rFonts w:ascii="Cambria Math" w:hAnsi="Cambria Math"/>
              <w:sz w:val="22"/>
              <w:highlight w:val="none"/>
            </w:rPr>
            <m:t>−</m:t>
          </m:r>
          <m:f>
            <m:fPr>
              <m:ctrlPr>
                <w:rPr>
                  <w:rFonts w:ascii="Cambria Math" w:hAnsi="Cambria Math"/>
                  <w:i/>
                  <w:sz w:val="22"/>
                  <w:highlight w:val="none"/>
                </w:rPr>
              </m:ctrlPr>
            </m:fPr>
            <m:num>
              <m:sSup>
                <m:sSupPr>
                  <m:ctrlPr>
                    <w:rPr>
                      <w:rFonts w:ascii="Cambria Math" w:hAnsi="Cambria Math"/>
                      <w:sz w:val="22"/>
                      <w:highlight w:val="none"/>
                    </w:rPr>
                  </m:ctrlPr>
                </m:sSupPr>
                <m:e>
                  <m:r>
                    <m:rPr>
                      <m:sty m:val="p"/>
                    </m:rPr>
                    <w:rPr>
                      <w:rFonts w:ascii="Cambria Math" w:hAnsi="Cambria Math"/>
                      <w:sz w:val="22"/>
                      <w:highlight w:val="none"/>
                    </w:rPr>
                    <m:t>217.4</m:t>
                  </m:r>
                  <m:ctrlPr>
                    <w:rPr>
                      <w:rFonts w:ascii="Cambria Math" w:hAnsi="Cambria Math"/>
                      <w:sz w:val="22"/>
                      <w:highlight w:val="none"/>
                    </w:rPr>
                  </m:ctrlPr>
                </m:e>
                <m:sup>
                  <m:r>
                    <m:rPr>
                      <m:sty m:val="p"/>
                    </m:rPr>
                    <w:rPr>
                      <w:rFonts w:ascii="Cambria Math" w:hAnsi="Cambria Math"/>
                      <w:sz w:val="22"/>
                      <w:highlight w:val="none"/>
                    </w:rPr>
                    <m:t>2</m:t>
                  </m:r>
                  <m:ctrlPr>
                    <w:rPr>
                      <w:rFonts w:ascii="Cambria Math" w:hAnsi="Cambria Math"/>
                      <w:sz w:val="22"/>
                      <w:highlight w:val="none"/>
                    </w:rPr>
                  </m:ctrlPr>
                </m:sup>
              </m:sSup>
              <m:ctrlPr>
                <w:rPr>
                  <w:rFonts w:ascii="Cambria Math" w:hAnsi="Cambria Math"/>
                  <w:i/>
                  <w:sz w:val="22"/>
                  <w:highlight w:val="none"/>
                </w:rPr>
              </m:ctrlPr>
            </m:num>
            <m:den>
              <m:r>
                <m:rPr/>
                <w:rPr>
                  <w:rFonts w:ascii="Cambria Math" w:hAnsi="Cambria Math"/>
                  <w:sz w:val="22"/>
                  <w:highlight w:val="none"/>
                </w:rPr>
                <m:t>6×2×3</m:t>
              </m:r>
              <m:ctrlPr>
                <w:rPr>
                  <w:rFonts w:ascii="Cambria Math" w:hAnsi="Cambria Math"/>
                  <w:i/>
                  <w:sz w:val="22"/>
                  <w:highlight w:val="none"/>
                </w:rPr>
              </m:ctrlPr>
            </m:den>
          </m:f>
          <m:r>
            <m:rPr/>
            <w:rPr>
              <w:rFonts w:ascii="Cambria Math" w:hAnsi="Cambria Math"/>
              <w:sz w:val="22"/>
              <w:highlight w:val="none"/>
            </w:rPr>
            <m:t>=5.53</m:t>
          </m:r>
        </m:oMath>
      </m:oMathPara>
    </w:p>
    <w:p w14:paraId="6C93B8A2">
      <w:pPr>
        <w:widowControl/>
        <w:snapToGrid w:val="0"/>
        <w:spacing w:line="264" w:lineRule="auto"/>
        <w:rPr>
          <w:b/>
          <w:sz w:val="22"/>
          <w:highlight w:val="none"/>
        </w:rPr>
      </w:pPr>
    </w:p>
    <w:p w14:paraId="0FEE8FEC">
      <w:pPr>
        <w:widowControl/>
        <w:snapToGrid w:val="0"/>
        <w:spacing w:line="264" w:lineRule="auto"/>
        <w:ind w:firstLine="440"/>
        <w:jc w:val="center"/>
        <w:rPr>
          <w:color w:val="000000" w:themeColor="text1"/>
          <w:sz w:val="22"/>
          <w:highlight w:val="none"/>
          <w14:textFill>
            <w14:solidFill>
              <w14:schemeClr w14:val="tx1"/>
            </w14:solidFill>
          </w14:textFill>
        </w:rPr>
      </w:pPr>
    </w:p>
    <w:p w14:paraId="4BF4E122">
      <w:pPr>
        <w:widowControl/>
        <w:snapToGrid w:val="0"/>
        <w:spacing w:line="264" w:lineRule="auto"/>
        <w:ind w:firstLine="440"/>
        <w:jc w:val="center"/>
        <w:rPr>
          <w:b/>
          <w:color w:val="000000" w:themeColor="text1"/>
          <w:sz w:val="22"/>
          <w:highlight w:val="none"/>
          <w14:textFill>
            <w14:solidFill>
              <w14:schemeClr w14:val="tx1"/>
            </w14:solidFill>
          </w14:textFill>
        </w:rPr>
      </w:pPr>
      <m:oMathPara>
        <m:oMath>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j</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f>
                    <m:fPr>
                      <m:ctrlPr>
                        <w:rPr>
                          <w:rFonts w:ascii="Cambria Math" w:hAnsi="Cambria Math"/>
                          <w:i/>
                          <w:color w:val="000000" w:themeColor="text1"/>
                          <w:sz w:val="22"/>
                          <w:highlight w:val="none"/>
                          <w14:textFill>
                            <w14:solidFill>
                              <w14:schemeClr w14:val="tx1"/>
                            </w14:solidFill>
                          </w14:textFill>
                        </w:rPr>
                      </m:ctrlPr>
                    </m:fPr>
                    <m:num>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T</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ij</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n</m:t>
                      </m:r>
                      <m:ctrlPr>
                        <w:rPr>
                          <w:rFonts w:ascii="Cambria Math" w:hAnsi="Cambria Math"/>
                          <w:i/>
                          <w:color w:val="000000" w:themeColor="text1"/>
                          <w:sz w:val="22"/>
                          <w:highlight w:val="none"/>
                          <w14:textFill>
                            <w14:solidFill>
                              <w14:schemeClr w14:val="tx1"/>
                            </w14:solidFill>
                          </w14:textFill>
                        </w:rPr>
                      </m:ctrlPr>
                    </m:den>
                  </m:f>
                  <m:ctrlPr>
                    <w:rPr>
                      <w:rFonts w:ascii="Cambria Math" w:hAnsi="Cambria Math"/>
                      <w:i/>
                      <w:color w:val="000000" w:themeColor="text1"/>
                      <w:sz w:val="22"/>
                      <w:highlight w:val="none"/>
                      <w14:textFill>
                        <w14:solidFill>
                          <w14:schemeClr w14:val="tx1"/>
                        </w14:solidFill>
                      </w14:textFill>
                    </w:rPr>
                  </m:ctrlPr>
                </m:e>
              </m:nary>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f>
                    <m:fPr>
                      <m:ctrlPr>
                        <w:rPr>
                          <w:rFonts w:ascii="Cambria Math" w:hAnsi="Cambria Math"/>
                          <w:i/>
                          <w:color w:val="000000" w:themeColor="text1"/>
                          <w:sz w:val="22"/>
                          <w:highlight w:val="none"/>
                          <w14:textFill>
                            <w14:solidFill>
                              <w14:schemeClr w14:val="tx1"/>
                            </w14:solidFill>
                          </w14:textFill>
                        </w:rPr>
                      </m:ctrlPr>
                    </m:fPr>
                    <m:num>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T</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qn</m:t>
                      </m:r>
                      <m:ctrlPr>
                        <w:rPr>
                          <w:rFonts w:ascii="Cambria Math" w:hAnsi="Cambria Math"/>
                          <w:i/>
                          <w:color w:val="000000" w:themeColor="text1"/>
                          <w:sz w:val="22"/>
                          <w:highlight w:val="none"/>
                          <w14:textFill>
                            <w14:solidFill>
                              <w14:schemeClr w14:val="tx1"/>
                            </w14:solidFill>
                          </w14:textFill>
                        </w:rPr>
                      </m:ctrlPr>
                    </m:den>
                  </m:f>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3955.96</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3</m:t>
              </m:r>
              <m:ctrlPr>
                <w:rPr>
                  <w:rFonts w:ascii="Cambria Math" w:hAnsi="Cambria Math"/>
                  <w:i/>
                  <w:color w:val="000000" w:themeColor="text1"/>
                  <w:sz w:val="22"/>
                  <w:highlight w:val="none"/>
                  <w14:textFill>
                    <w14:solidFill>
                      <w14:schemeClr w14:val="tx1"/>
                    </w14:solidFill>
                  </w14:textFill>
                </w:rPr>
              </m:ctrlPr>
            </m:den>
          </m:f>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sz w:val="22"/>
                  <w:highlight w:val="none"/>
                </w:rPr>
                <m:t>7910.30</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2×3</m:t>
              </m:r>
              <m:ctrlPr>
                <w:rPr>
                  <w:rFonts w:ascii="Cambria Math" w:hAnsi="Cambria Math"/>
                  <w:i/>
                  <w:color w:val="000000" w:themeColor="text1"/>
                  <w:sz w:val="22"/>
                  <w:highlight w:val="none"/>
                  <w14:textFill>
                    <w14:solidFill>
                      <w14:schemeClr w14:val="tx1"/>
                    </w14:solidFill>
                  </w14:textFill>
                </w:rPr>
              </m:ctrlPr>
            </m:den>
          </m:f>
          <m:r>
            <m:rPr/>
            <w:rPr>
              <w:rFonts w:ascii="Cambria Math" w:hAnsi="Cambria Math"/>
              <w:color w:val="000000" w:themeColor="text1"/>
              <w:sz w:val="22"/>
              <w:highlight w:val="none"/>
              <w14:textFill>
                <w14:solidFill>
                  <w14:schemeClr w14:val="tx1"/>
                </w14:solidFill>
              </w14:textFill>
            </w:rPr>
            <m:t>=0.27</m:t>
          </m:r>
        </m:oMath>
      </m:oMathPara>
    </w:p>
    <w:p w14:paraId="254A3728">
      <w:pPr>
        <w:widowControl/>
        <w:snapToGrid w:val="0"/>
        <w:spacing w:line="264" w:lineRule="auto"/>
        <w:ind w:firstLine="440"/>
        <w:jc w:val="center"/>
        <w:rPr>
          <w:color w:val="000000" w:themeColor="text1"/>
          <w:sz w:val="22"/>
          <w:highlight w:val="none"/>
          <w14:textFill>
            <w14:solidFill>
              <w14:schemeClr w14:val="tx1"/>
            </w14:solidFill>
          </w14:textFill>
        </w:rPr>
      </w:pPr>
    </w:p>
    <w:p w14:paraId="5F4205BF">
      <w:pPr>
        <w:widowControl/>
        <w:snapToGrid w:val="0"/>
        <w:spacing w:line="264" w:lineRule="auto"/>
        <w:ind w:firstLine="440"/>
        <w:jc w:val="center"/>
        <w:rPr>
          <w:color w:val="000000" w:themeColor="text1"/>
          <w:sz w:val="22"/>
          <w:highlight w:val="none"/>
          <w14:textFill>
            <w14:solidFill>
              <w14:schemeClr w14:val="tx1"/>
            </w14:solidFill>
          </w14:textFill>
        </w:rPr>
      </w:pPr>
      <m:oMathPara>
        <m:oMath>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j</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k</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y</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ijk</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j</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f>
                                <m:fPr>
                                  <m:ctrlPr>
                                    <w:rPr>
                                      <w:rFonts w:ascii="Cambria Math" w:hAnsi="Cambria Math"/>
                                      <w:i/>
                                      <w:color w:val="000000" w:themeColor="text1"/>
                                      <w:sz w:val="22"/>
                                      <w:highlight w:val="none"/>
                                      <w14:textFill>
                                        <w14:solidFill>
                                          <w14:schemeClr w14:val="tx1"/>
                                        </w14:solidFill>
                                      </w14:textFill>
                                    </w:rPr>
                                  </m:ctrlPr>
                                </m:fPr>
                                <m:num>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T</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ij</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n</m:t>
                                  </m:r>
                                  <m:ctrlPr>
                                    <w:rPr>
                                      <w:rFonts w:ascii="Cambria Math" w:hAnsi="Cambria Math"/>
                                      <w:i/>
                                      <w:color w:val="000000" w:themeColor="text1"/>
                                      <w:sz w:val="22"/>
                                      <w:highlight w:val="none"/>
                                      <w14:textFill>
                                        <w14:solidFill>
                                          <w14:schemeClr w14:val="tx1"/>
                                        </w14:solidFill>
                                      </w14:textFill>
                                    </w:rPr>
                                  </m:ctrlPr>
                                </m:den>
                              </m:f>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r>
            <m:rPr/>
            <w:rPr>
              <w:rFonts w:ascii="Cambria Math" w:hAnsi="Cambria Math"/>
              <w:color w:val="000000" w:themeColor="text1"/>
              <w:sz w:val="22"/>
              <w:highlight w:val="none"/>
              <w14:textFill>
                <w14:solidFill>
                  <w14:schemeClr w14:val="tx1"/>
                </w14:solidFill>
              </w14:textFill>
            </w:rPr>
            <m:t>=</m:t>
          </m:r>
          <m:r>
            <m:rPr/>
            <w:rPr>
              <w:rFonts w:ascii="Cambria Math" w:hAnsi="Cambria Math"/>
              <w:sz w:val="22"/>
              <w:highlight w:val="none"/>
            </w:rPr>
            <m:t>1320.06</m:t>
          </m:r>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3955.96</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3</m:t>
              </m:r>
              <m:ctrlPr>
                <w:rPr>
                  <w:rFonts w:ascii="Cambria Math" w:hAnsi="Cambria Math"/>
                  <w:i/>
                  <w:color w:val="000000" w:themeColor="text1"/>
                  <w:sz w:val="22"/>
                  <w:highlight w:val="none"/>
                  <w14:textFill>
                    <w14:solidFill>
                      <w14:schemeClr w14:val="tx1"/>
                    </w14:solidFill>
                  </w14:textFill>
                </w:rPr>
              </m:ctrlPr>
            </m:den>
          </m:f>
          <m:r>
            <m:rPr/>
            <w:rPr>
              <w:rFonts w:ascii="Cambria Math" w:hAnsi="Cambria Math"/>
              <w:color w:val="000000" w:themeColor="text1"/>
              <w:sz w:val="22"/>
              <w:highlight w:val="none"/>
              <w14:textFill>
                <w14:solidFill>
                  <w14:schemeClr w14:val="tx1"/>
                </w14:solidFill>
              </w14:textFill>
            </w:rPr>
            <m:t>=1.41</m:t>
          </m:r>
        </m:oMath>
      </m:oMathPara>
    </w:p>
    <w:p w14:paraId="6BBF708C">
      <w:pPr>
        <w:widowControl/>
        <w:snapToGrid w:val="0"/>
        <w:spacing w:before="156" w:beforeLines="50" w:line="300" w:lineRule="auto"/>
        <w:jc w:val="left"/>
        <w:rPr>
          <w:color w:val="000000" w:themeColor="text1"/>
          <w:sz w:val="22"/>
          <w:highlight w:val="none"/>
          <w14:textFill>
            <w14:solidFill>
              <w14:schemeClr w14:val="tx1"/>
            </w14:solidFill>
          </w14:textFill>
        </w:rPr>
      </w:pPr>
    </w:p>
    <w:p w14:paraId="2E265A72">
      <w:pPr>
        <w:jc w:val="center"/>
        <w:rPr>
          <w:rFonts w:eastAsia="黑体"/>
          <w:bCs/>
          <w:highlight w:val="none"/>
        </w:rPr>
      </w:pPr>
      <w:r>
        <w:rPr>
          <w:rFonts w:eastAsia="黑体"/>
          <w:bCs/>
          <w:highlight w:val="none"/>
        </w:rPr>
        <w:t>表</w:t>
      </w:r>
      <w:r>
        <w:rPr>
          <w:rFonts w:hint="eastAsia" w:eastAsia="黑体"/>
          <w:bCs/>
          <w:highlight w:val="none"/>
        </w:rPr>
        <w:t>8</w:t>
      </w:r>
      <w:r>
        <w:rPr>
          <w:rFonts w:eastAsia="黑体"/>
          <w:bCs/>
          <w:highlight w:val="none"/>
        </w:rPr>
        <w:t>样品A的ANOVA表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1729"/>
        <w:gridCol w:w="1729"/>
        <w:gridCol w:w="1514"/>
        <w:gridCol w:w="2585"/>
      </w:tblGrid>
      <w:tr w14:paraId="2A5B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vAlign w:val="center"/>
          </w:tcPr>
          <w:p w14:paraId="1CDB9450">
            <w:pPr>
              <w:jc w:val="center"/>
              <w:rPr>
                <w:rFonts w:eastAsiaTheme="minorEastAsia"/>
                <w:szCs w:val="21"/>
                <w:highlight w:val="none"/>
              </w:rPr>
            </w:pPr>
          </w:p>
        </w:tc>
        <w:tc>
          <w:tcPr>
            <w:tcW w:w="931" w:type="pct"/>
            <w:vAlign w:val="center"/>
          </w:tcPr>
          <w:p w14:paraId="0C110B0B">
            <w:pPr>
              <w:jc w:val="center"/>
              <w:rPr>
                <w:rFonts w:eastAsiaTheme="minorEastAsia"/>
                <w:szCs w:val="21"/>
                <w:highlight w:val="none"/>
              </w:rPr>
            </w:pPr>
            <w:r>
              <w:rPr>
                <w:rFonts w:eastAsiaTheme="minorEastAsia"/>
                <w:szCs w:val="21"/>
                <w:highlight w:val="none"/>
              </w:rPr>
              <w:t>平方和</w:t>
            </w:r>
          </w:p>
        </w:tc>
        <w:tc>
          <w:tcPr>
            <w:tcW w:w="931" w:type="pct"/>
            <w:vAlign w:val="center"/>
          </w:tcPr>
          <w:p w14:paraId="585D22FC">
            <w:pPr>
              <w:jc w:val="center"/>
              <w:rPr>
                <w:rFonts w:eastAsiaTheme="minorEastAsia"/>
                <w:szCs w:val="21"/>
                <w:highlight w:val="none"/>
              </w:rPr>
            </w:pPr>
            <w:r>
              <w:rPr>
                <w:rFonts w:eastAsiaTheme="minorEastAsia"/>
                <w:szCs w:val="21"/>
                <w:highlight w:val="none"/>
              </w:rPr>
              <w:t>自由度</w:t>
            </w:r>
          </w:p>
        </w:tc>
        <w:tc>
          <w:tcPr>
            <w:tcW w:w="815" w:type="pct"/>
            <w:vAlign w:val="center"/>
          </w:tcPr>
          <w:p w14:paraId="64AD5BEB">
            <w:pPr>
              <w:jc w:val="center"/>
              <w:rPr>
                <w:rFonts w:eastAsiaTheme="minorEastAsia"/>
                <w:szCs w:val="21"/>
                <w:highlight w:val="none"/>
              </w:rPr>
            </w:pPr>
            <w:r>
              <w:rPr>
                <w:rFonts w:eastAsiaTheme="minorEastAsia"/>
                <w:szCs w:val="21"/>
                <w:highlight w:val="none"/>
              </w:rPr>
              <w:t>均方</w:t>
            </w:r>
          </w:p>
        </w:tc>
        <w:tc>
          <w:tcPr>
            <w:tcW w:w="1393" w:type="pct"/>
            <w:vAlign w:val="center"/>
          </w:tcPr>
          <w:p w14:paraId="7ACE028E">
            <w:pPr>
              <w:jc w:val="center"/>
              <w:rPr>
                <w:rFonts w:eastAsiaTheme="minorEastAsia"/>
                <w:szCs w:val="21"/>
                <w:highlight w:val="none"/>
              </w:rPr>
            </w:pPr>
            <w:r>
              <w:rPr>
                <w:rFonts w:eastAsiaTheme="minorEastAsia"/>
                <w:szCs w:val="21"/>
                <w:highlight w:val="none"/>
              </w:rPr>
              <w:t>预期平均值</w:t>
            </w:r>
          </w:p>
        </w:tc>
      </w:tr>
      <w:tr w14:paraId="5BB2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vAlign w:val="center"/>
          </w:tcPr>
          <w:p w14:paraId="1F4486FD">
            <w:pPr>
              <w:jc w:val="center"/>
              <w:rPr>
                <w:rFonts w:eastAsiaTheme="minorEastAsia"/>
                <w:szCs w:val="21"/>
                <w:highlight w:val="none"/>
              </w:rPr>
            </w:pPr>
            <w:r>
              <w:rPr>
                <w:rFonts w:eastAsiaTheme="minorEastAsia"/>
                <w:szCs w:val="21"/>
                <w:highlight w:val="none"/>
              </w:rPr>
              <w:t>实验室</w:t>
            </w:r>
          </w:p>
        </w:tc>
        <w:tc>
          <w:tcPr>
            <w:tcW w:w="931" w:type="pct"/>
            <w:vAlign w:val="center"/>
          </w:tcPr>
          <w:p w14:paraId="27FEFC6D">
            <w:pPr>
              <w:jc w:val="center"/>
              <w:rPr>
                <w:rFonts w:eastAsiaTheme="minorEastAsia"/>
                <w:color w:val="000000"/>
                <w:szCs w:val="21"/>
                <w:highlight w:val="none"/>
              </w:rPr>
            </w:pPr>
            <w:r>
              <w:rPr>
                <w:rFonts w:hint="eastAsia" w:eastAsiaTheme="minorEastAsia"/>
                <w:color w:val="000000"/>
                <w:szCs w:val="21"/>
                <w:highlight w:val="none"/>
              </w:rPr>
              <w:t>5.53</w:t>
            </w:r>
          </w:p>
        </w:tc>
        <w:tc>
          <w:tcPr>
            <w:tcW w:w="931" w:type="pct"/>
            <w:vAlign w:val="center"/>
          </w:tcPr>
          <w:p w14:paraId="26652AB8">
            <w:pPr>
              <w:jc w:val="center"/>
              <w:rPr>
                <w:rFonts w:eastAsiaTheme="minorEastAsia"/>
                <w:szCs w:val="21"/>
                <w:highlight w:val="none"/>
              </w:rPr>
            </w:pPr>
            <w:r>
              <w:rPr>
                <w:rFonts w:eastAsiaTheme="minorEastAsia"/>
                <w:szCs w:val="21"/>
                <w:highlight w:val="none"/>
              </w:rPr>
              <w:t>5</w:t>
            </w:r>
          </w:p>
        </w:tc>
        <w:tc>
          <w:tcPr>
            <w:tcW w:w="815" w:type="pct"/>
            <w:vAlign w:val="center"/>
          </w:tcPr>
          <w:p w14:paraId="6B25DFA1">
            <w:pPr>
              <w:jc w:val="center"/>
              <w:rPr>
                <w:rFonts w:eastAsiaTheme="minorEastAsia"/>
                <w:color w:val="000000"/>
                <w:szCs w:val="21"/>
                <w:highlight w:val="none"/>
              </w:rPr>
            </w:pPr>
            <w:r>
              <w:rPr>
                <w:rFonts w:eastAsiaTheme="minorEastAsia"/>
                <w:color w:val="000000"/>
                <w:szCs w:val="21"/>
                <w:highlight w:val="none"/>
              </w:rPr>
              <w:t>1</w:t>
            </w:r>
            <w:r>
              <w:rPr>
                <w:rFonts w:hint="eastAsia" w:eastAsiaTheme="minorEastAsia"/>
                <w:color w:val="000000"/>
                <w:szCs w:val="21"/>
                <w:highlight w:val="none"/>
              </w:rPr>
              <w:t>.11</w:t>
            </w:r>
          </w:p>
        </w:tc>
        <w:tc>
          <w:tcPr>
            <w:tcW w:w="1393" w:type="pct"/>
            <w:vAlign w:val="center"/>
          </w:tcPr>
          <w:p w14:paraId="4E27D56D">
            <w:pPr>
              <w:jc w:val="center"/>
              <w:rPr>
                <w:rFonts w:eastAsiaTheme="minorEastAsia"/>
                <w:color w:val="000000"/>
                <w:szCs w:val="21"/>
                <w:highlight w:val="none"/>
              </w:rPr>
            </w:pPr>
            <w:r>
              <w:rPr>
                <w:rFonts w:eastAsiaTheme="minorEastAsia"/>
                <w:color w:val="000000"/>
                <w:szCs w:val="21"/>
                <w:highlight w:val="none"/>
              </w:rPr>
              <w:t>15.23</w:t>
            </w:r>
          </w:p>
        </w:tc>
      </w:tr>
      <w:tr w14:paraId="65CF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vAlign w:val="center"/>
          </w:tcPr>
          <w:p w14:paraId="7AACD26F">
            <w:pPr>
              <w:jc w:val="center"/>
              <w:rPr>
                <w:rFonts w:eastAsiaTheme="minorEastAsia"/>
                <w:szCs w:val="21"/>
                <w:highlight w:val="none"/>
              </w:rPr>
            </w:pPr>
            <w:bookmarkStart w:id="41" w:name="_Hlk207126242"/>
            <w:r>
              <w:rPr>
                <w:rFonts w:eastAsiaTheme="minorEastAsia"/>
                <w:szCs w:val="21"/>
                <w:highlight w:val="none"/>
              </w:rPr>
              <w:t>天</w:t>
            </w:r>
          </w:p>
        </w:tc>
        <w:tc>
          <w:tcPr>
            <w:tcW w:w="931" w:type="pct"/>
            <w:vAlign w:val="center"/>
          </w:tcPr>
          <w:p w14:paraId="4655DD04">
            <w:pPr>
              <w:jc w:val="center"/>
              <w:rPr>
                <w:rFonts w:eastAsiaTheme="minorEastAsia"/>
                <w:color w:val="000000"/>
                <w:szCs w:val="21"/>
                <w:highlight w:val="none"/>
              </w:rPr>
            </w:pPr>
            <w:r>
              <w:rPr>
                <w:rFonts w:eastAsiaTheme="minorEastAsia"/>
                <w:color w:val="000000"/>
                <w:szCs w:val="21"/>
                <w:highlight w:val="none"/>
              </w:rPr>
              <w:t>0.27</w:t>
            </w:r>
          </w:p>
        </w:tc>
        <w:tc>
          <w:tcPr>
            <w:tcW w:w="931" w:type="pct"/>
            <w:vAlign w:val="center"/>
          </w:tcPr>
          <w:p w14:paraId="7EE0EFCE">
            <w:pPr>
              <w:jc w:val="center"/>
              <w:rPr>
                <w:rFonts w:eastAsiaTheme="minorEastAsia"/>
                <w:szCs w:val="21"/>
                <w:highlight w:val="none"/>
              </w:rPr>
            </w:pPr>
            <w:r>
              <w:rPr>
                <w:rFonts w:eastAsiaTheme="minorEastAsia"/>
                <w:szCs w:val="21"/>
                <w:highlight w:val="none"/>
              </w:rPr>
              <w:t>6</w:t>
            </w:r>
          </w:p>
        </w:tc>
        <w:tc>
          <w:tcPr>
            <w:tcW w:w="815" w:type="pct"/>
            <w:vAlign w:val="center"/>
          </w:tcPr>
          <w:p w14:paraId="60074587">
            <w:pPr>
              <w:jc w:val="center"/>
              <w:rPr>
                <w:rFonts w:eastAsiaTheme="minorEastAsia"/>
                <w:color w:val="000000"/>
                <w:szCs w:val="21"/>
                <w:highlight w:val="none"/>
              </w:rPr>
            </w:pPr>
            <w:r>
              <w:rPr>
                <w:rFonts w:eastAsiaTheme="minorEastAsia"/>
                <w:color w:val="000000"/>
                <w:szCs w:val="21"/>
                <w:highlight w:val="none"/>
              </w:rPr>
              <w:t>0.05</w:t>
            </w:r>
          </w:p>
        </w:tc>
        <w:tc>
          <w:tcPr>
            <w:tcW w:w="1393" w:type="pct"/>
            <w:vAlign w:val="center"/>
          </w:tcPr>
          <w:p w14:paraId="0DCAC89F">
            <w:pPr>
              <w:jc w:val="center"/>
              <w:rPr>
                <w:rFonts w:eastAsiaTheme="minorEastAsia"/>
                <w:color w:val="000000"/>
                <w:szCs w:val="21"/>
                <w:highlight w:val="none"/>
              </w:rPr>
            </w:pPr>
            <w:r>
              <w:rPr>
                <w:rFonts w:eastAsiaTheme="minorEastAsia"/>
                <w:color w:val="000000"/>
                <w:szCs w:val="21"/>
                <w:highlight w:val="none"/>
              </w:rPr>
              <w:t>0.05</w:t>
            </w:r>
          </w:p>
        </w:tc>
      </w:tr>
      <w:tr w14:paraId="313A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vAlign w:val="center"/>
          </w:tcPr>
          <w:p w14:paraId="5112C41B">
            <w:pPr>
              <w:jc w:val="center"/>
              <w:rPr>
                <w:rFonts w:eastAsiaTheme="minorEastAsia"/>
                <w:szCs w:val="21"/>
                <w:highlight w:val="none"/>
              </w:rPr>
            </w:pPr>
            <w:r>
              <w:rPr>
                <w:rFonts w:eastAsiaTheme="minorEastAsia"/>
                <w:szCs w:val="21"/>
                <w:highlight w:val="none"/>
              </w:rPr>
              <w:t>测量</w:t>
            </w:r>
          </w:p>
        </w:tc>
        <w:tc>
          <w:tcPr>
            <w:tcW w:w="931" w:type="pct"/>
            <w:vAlign w:val="center"/>
          </w:tcPr>
          <w:p w14:paraId="4A5C09C0">
            <w:pPr>
              <w:jc w:val="center"/>
              <w:rPr>
                <w:rFonts w:eastAsiaTheme="minorEastAsia"/>
                <w:color w:val="000000"/>
                <w:szCs w:val="21"/>
                <w:highlight w:val="none"/>
              </w:rPr>
            </w:pPr>
            <w:r>
              <w:rPr>
                <w:rFonts w:eastAsiaTheme="minorEastAsia"/>
                <w:color w:val="000000"/>
                <w:szCs w:val="21"/>
                <w:highlight w:val="none"/>
              </w:rPr>
              <w:t>1.41</w:t>
            </w:r>
          </w:p>
        </w:tc>
        <w:tc>
          <w:tcPr>
            <w:tcW w:w="931" w:type="pct"/>
            <w:vAlign w:val="center"/>
          </w:tcPr>
          <w:p w14:paraId="5FE4A1A2">
            <w:pPr>
              <w:jc w:val="center"/>
              <w:rPr>
                <w:rFonts w:eastAsiaTheme="minorEastAsia"/>
                <w:szCs w:val="21"/>
                <w:highlight w:val="none"/>
              </w:rPr>
            </w:pPr>
            <w:r>
              <w:rPr>
                <w:rFonts w:eastAsiaTheme="minorEastAsia"/>
                <w:szCs w:val="21"/>
                <w:highlight w:val="none"/>
              </w:rPr>
              <w:t>24</w:t>
            </w:r>
          </w:p>
        </w:tc>
        <w:tc>
          <w:tcPr>
            <w:tcW w:w="815" w:type="pct"/>
            <w:vAlign w:val="center"/>
          </w:tcPr>
          <w:p w14:paraId="5545B877">
            <w:pPr>
              <w:jc w:val="center"/>
              <w:rPr>
                <w:rFonts w:eastAsiaTheme="minorEastAsia"/>
                <w:color w:val="000000"/>
                <w:szCs w:val="21"/>
                <w:highlight w:val="none"/>
              </w:rPr>
            </w:pPr>
            <w:r>
              <w:rPr>
                <w:rFonts w:eastAsiaTheme="minorEastAsia"/>
                <w:color w:val="000000"/>
                <w:szCs w:val="21"/>
                <w:highlight w:val="none"/>
              </w:rPr>
              <w:t>0.06</w:t>
            </w:r>
          </w:p>
        </w:tc>
        <w:tc>
          <w:tcPr>
            <w:tcW w:w="1393" w:type="pct"/>
            <w:vAlign w:val="center"/>
          </w:tcPr>
          <w:p w14:paraId="70AB22A4">
            <w:pPr>
              <w:jc w:val="center"/>
              <w:rPr>
                <w:rFonts w:eastAsiaTheme="minorEastAsia"/>
                <w:color w:val="000000"/>
                <w:szCs w:val="21"/>
                <w:highlight w:val="none"/>
              </w:rPr>
            </w:pPr>
            <w:r>
              <w:rPr>
                <w:rFonts w:eastAsiaTheme="minorEastAsia"/>
                <w:color w:val="000000"/>
                <w:szCs w:val="21"/>
                <w:highlight w:val="none"/>
              </w:rPr>
              <w:t>0.06</w:t>
            </w:r>
          </w:p>
        </w:tc>
      </w:tr>
      <w:bookmarkEnd w:id="41"/>
      <w:tr w14:paraId="029F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vAlign w:val="center"/>
          </w:tcPr>
          <w:p w14:paraId="79D037A7">
            <w:pPr>
              <w:jc w:val="center"/>
              <w:rPr>
                <w:rFonts w:eastAsiaTheme="minorEastAsia"/>
                <w:szCs w:val="21"/>
                <w:highlight w:val="none"/>
              </w:rPr>
            </w:pPr>
            <w:r>
              <w:rPr>
                <w:rFonts w:eastAsiaTheme="minorEastAsia"/>
                <w:szCs w:val="21"/>
                <w:highlight w:val="none"/>
              </w:rPr>
              <w:t>总和</w:t>
            </w:r>
          </w:p>
        </w:tc>
        <w:tc>
          <w:tcPr>
            <w:tcW w:w="931" w:type="pct"/>
            <w:vAlign w:val="center"/>
          </w:tcPr>
          <w:p w14:paraId="119FE2F6">
            <w:pPr>
              <w:jc w:val="center"/>
              <w:rPr>
                <w:rFonts w:eastAsiaTheme="minorEastAsia"/>
                <w:color w:val="000000"/>
                <w:szCs w:val="21"/>
                <w:highlight w:val="none"/>
              </w:rPr>
            </w:pPr>
            <w:r>
              <w:rPr>
                <w:rFonts w:hint="eastAsia" w:eastAsiaTheme="minorEastAsia"/>
                <w:color w:val="000000"/>
                <w:szCs w:val="21"/>
                <w:highlight w:val="none"/>
              </w:rPr>
              <w:t>7.21</w:t>
            </w:r>
          </w:p>
        </w:tc>
        <w:tc>
          <w:tcPr>
            <w:tcW w:w="931" w:type="pct"/>
            <w:vAlign w:val="center"/>
          </w:tcPr>
          <w:p w14:paraId="56F81C89">
            <w:pPr>
              <w:jc w:val="center"/>
              <w:rPr>
                <w:rFonts w:eastAsiaTheme="minorEastAsia"/>
                <w:szCs w:val="21"/>
                <w:highlight w:val="none"/>
              </w:rPr>
            </w:pPr>
            <w:r>
              <w:rPr>
                <w:rFonts w:eastAsiaTheme="minorEastAsia"/>
                <w:szCs w:val="21"/>
                <w:highlight w:val="none"/>
              </w:rPr>
              <w:t>35</w:t>
            </w:r>
          </w:p>
        </w:tc>
        <w:tc>
          <w:tcPr>
            <w:tcW w:w="815" w:type="pct"/>
            <w:vAlign w:val="center"/>
          </w:tcPr>
          <w:p w14:paraId="08B9CF40">
            <w:pPr>
              <w:jc w:val="center"/>
              <w:rPr>
                <w:rFonts w:eastAsiaTheme="minorEastAsia"/>
                <w:szCs w:val="21"/>
                <w:highlight w:val="none"/>
              </w:rPr>
            </w:pPr>
          </w:p>
        </w:tc>
        <w:tc>
          <w:tcPr>
            <w:tcW w:w="1393" w:type="pct"/>
            <w:vAlign w:val="center"/>
          </w:tcPr>
          <w:p w14:paraId="10903CBF">
            <w:pPr>
              <w:jc w:val="center"/>
              <w:rPr>
                <w:rFonts w:eastAsiaTheme="minorEastAsia"/>
                <w:szCs w:val="21"/>
                <w:highlight w:val="none"/>
              </w:rPr>
            </w:pPr>
          </w:p>
        </w:tc>
      </w:tr>
    </w:tbl>
    <w:p w14:paraId="04047DB7">
      <w:pPr>
        <w:widowControl/>
        <w:snapToGrid w:val="0"/>
        <w:spacing w:line="300" w:lineRule="auto"/>
        <w:ind w:firstLine="442"/>
        <w:rPr>
          <w:sz w:val="24"/>
          <w:highlight w:val="none"/>
        </w:rPr>
      </w:pPr>
      <w:r>
        <w:rPr>
          <w:sz w:val="24"/>
          <w:highlight w:val="none"/>
        </w:rPr>
        <w:t>根据该ANOVA表（表</w:t>
      </w:r>
      <w:r>
        <w:rPr>
          <w:rFonts w:hint="eastAsia"/>
          <w:sz w:val="24"/>
          <w:highlight w:val="none"/>
        </w:rPr>
        <w:t>8</w:t>
      </w:r>
      <w:r>
        <w:rPr>
          <w:sz w:val="24"/>
          <w:highlight w:val="none"/>
        </w:rPr>
        <w:t>），使用下列公式估计样品A的方差分量和计算精密度：</w:t>
      </w:r>
    </w:p>
    <w:p w14:paraId="4BB430FC">
      <w:pPr>
        <w:widowControl/>
        <w:snapToGrid w:val="0"/>
        <w:spacing w:line="300" w:lineRule="auto"/>
        <w:ind w:firstLine="440"/>
        <w:jc w:val="center"/>
        <w:rPr>
          <w:rFonts w:ascii="Cambria Math" w:hAnsi="Cambria Math"/>
          <w:color w:val="000000" w:themeColor="text1"/>
          <w:sz w:val="22"/>
          <w:highlight w:val="none"/>
          <w14:textFill>
            <w14:solidFill>
              <w14:schemeClr w14:val="tx1"/>
            </w14:solidFill>
          </w14:textFill>
          <w:oMath/>
        </w:rPr>
      </w:pPr>
      <m:oMathPara>
        <m:oMath>
          <m:sSubSup>
            <m:sSubSupPr>
              <m:ctrlPr>
                <w:rPr>
                  <w:rFonts w:ascii="Cambria Math" w:hAnsi="Cambria Math"/>
                  <w:i/>
                  <w:color w:val="000000" w:themeColor="text1"/>
                  <w:sz w:val="22"/>
                  <w:highlight w:val="none"/>
                  <w14:textFill>
                    <w14:solidFill>
                      <w14:schemeClr w14:val="tx1"/>
                    </w14:solidFill>
                  </w14:textFill>
                </w:rPr>
              </m:ctrlPr>
            </m:sSubSupPr>
            <m:e>
              <w:bookmarkStart w:id="42" w:name="OLE_LINK53"/>
              <w:bookmarkStart w:id="43" w:name="OLE_LINK54"/>
              <m:r>
                <m:rPr/>
                <w:rPr>
                  <w:rFonts w:ascii="Cambria Math" w:hAnsi="Cambria Math"/>
                  <w:color w:val="000000" w:themeColor="text1"/>
                  <w:sz w:val="22"/>
                  <w:highlight w:val="none"/>
                  <w14:textFill>
                    <w14:solidFill>
                      <w14:schemeClr w14:val="tx1"/>
                    </w14:solidFill>
                  </w14:textFill>
                </w:rPr>
                <m:t>σ</m:t>
              </m:r>
              <w:bookmarkEnd w:id="42"/>
              <w:bookmarkEnd w:id="43"/>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L</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1</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2n</m:t>
              </m:r>
              <m:ctrlPr>
                <w:rPr>
                  <w:rFonts w:ascii="Cambria Math" w:hAnsi="Cambria Math"/>
                  <w:i/>
                  <w:color w:val="000000" w:themeColor="text1"/>
                  <w:sz w:val="22"/>
                  <w:highlight w:val="none"/>
                  <w14:textFill>
                    <w14:solidFill>
                      <w14:schemeClr w14:val="tx1"/>
                    </w14:solidFill>
                  </w14:textFill>
                </w:rPr>
              </m:ctrlPr>
            </m:den>
          </m:f>
          <m:d>
            <m:dPr>
              <m:ctrlPr>
                <w:rPr>
                  <w:rFonts w:ascii="Cambria Math" w:hAnsi="Cambria Math"/>
                  <w:i/>
                  <w:color w:val="000000" w:themeColor="text1"/>
                  <w:sz w:val="22"/>
                  <w:highlight w:val="none"/>
                  <w14:textFill>
                    <w14:solidFill>
                      <w14:schemeClr w14:val="tx1"/>
                    </w14:solidFill>
                  </w14:textFill>
                </w:rPr>
              </m:ctrlPr>
            </m:d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L</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d>
          <m:r>
            <m:rPr/>
            <w:rPr>
              <w:rFonts w:ascii="Cambria Math" w:hAnsi="Cambria Math"/>
              <w:color w:val="000000" w:themeColor="text1"/>
              <w:sz w:val="22"/>
              <w:highlight w:val="none"/>
              <w14:textFill>
                <w14:solidFill>
                  <w14:schemeClr w14:val="tx1"/>
                </w14:solidFill>
              </w14:textFill>
            </w:rPr>
            <m:t>=0.18</m:t>
          </m:r>
        </m:oMath>
      </m:oMathPara>
    </w:p>
    <w:p w14:paraId="44D66B72">
      <w:pPr>
        <w:widowControl/>
        <w:snapToGrid w:val="0"/>
        <w:spacing w:line="300" w:lineRule="auto"/>
        <w:ind w:firstLine="440"/>
        <w:jc w:val="center"/>
        <w:rPr>
          <w:color w:val="000000" w:themeColor="text1"/>
          <w:sz w:val="22"/>
          <w:highlight w:val="none"/>
          <w14:textFill>
            <w14:solidFill>
              <w14:schemeClr w14:val="tx1"/>
            </w14:solidFill>
          </w14:textFill>
        </w:rPr>
      </w:pPr>
    </w:p>
    <w:p w14:paraId="7AAFDA58">
      <w:pPr>
        <w:widowControl/>
        <w:snapToGrid w:val="0"/>
        <w:spacing w:line="300" w:lineRule="auto"/>
        <w:ind w:firstLine="440"/>
        <w:jc w:val="center"/>
        <w:rPr>
          <w:sz w:val="22"/>
          <w:highlight w:val="none"/>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1</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n</m:t>
              </m:r>
              <m:ctrlPr>
                <w:rPr>
                  <w:rFonts w:ascii="Cambria Math" w:hAnsi="Cambria Math"/>
                  <w:i/>
                  <w:color w:val="000000" w:themeColor="text1"/>
                  <w:sz w:val="22"/>
                  <w:highlight w:val="none"/>
                  <w14:textFill>
                    <w14:solidFill>
                      <w14:schemeClr w14:val="tx1"/>
                    </w14:solidFill>
                  </w14:textFill>
                </w:rPr>
              </m:ctrlPr>
            </m:den>
          </m:f>
          <m:d>
            <m:dPr>
              <m:ctrlPr>
                <w:rPr>
                  <w:rFonts w:ascii="Cambria Math" w:hAnsi="Cambria Math"/>
                  <w:i/>
                  <w:color w:val="000000" w:themeColor="text1"/>
                  <w:sz w:val="22"/>
                  <w:highlight w:val="none"/>
                  <w14:textFill>
                    <w14:solidFill>
                      <w14:schemeClr w14:val="tx1"/>
                    </w14:solidFill>
                  </w14:textFill>
                </w:rPr>
              </m:ctrlPr>
            </m:d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d>
          <m:r>
            <m:rPr/>
            <w:rPr>
              <w:rFonts w:ascii="Cambria Math" w:hAnsi="Cambria Math"/>
              <w:color w:val="000000" w:themeColor="text1"/>
              <w:sz w:val="22"/>
              <w:highlight w:val="none"/>
              <w14:textFill>
                <w14:solidFill>
                  <w14:schemeClr w14:val="tx1"/>
                </w14:solidFill>
              </w14:textFill>
            </w:rPr>
            <m:t>=</m:t>
          </m:r>
          <m:r>
            <m:rPr>
              <m:sty m:val="p"/>
            </m:rPr>
            <w:rPr>
              <w:rFonts w:ascii="Cambria Math" w:hAnsi="Cambria Math"/>
              <w:color w:val="000000"/>
              <w:szCs w:val="21"/>
              <w:highlight w:val="none"/>
            </w:rPr>
            <m:t>0</m:t>
          </m:r>
        </m:oMath>
      </m:oMathPara>
    </w:p>
    <w:p w14:paraId="5F063750">
      <w:pPr>
        <w:widowControl/>
        <w:snapToGrid w:val="0"/>
        <w:spacing w:line="300" w:lineRule="auto"/>
        <w:ind w:firstLine="440"/>
        <w:jc w:val="center"/>
        <w:rPr>
          <w:color w:val="000000" w:themeColor="text1"/>
          <w:sz w:val="22"/>
          <w:highlight w:val="none"/>
          <w14:textFill>
            <w14:solidFill>
              <w14:schemeClr w14:val="tx1"/>
            </w14:solidFill>
          </w14:textFill>
        </w:rPr>
      </w:pPr>
    </w:p>
    <w:p w14:paraId="28BB5C08">
      <w:pPr>
        <w:widowControl/>
        <w:snapToGrid w:val="0"/>
        <w:spacing w:line="300" w:lineRule="auto"/>
        <w:ind w:firstLine="440"/>
        <w:jc w:val="center"/>
        <w:rPr>
          <w:sz w:val="22"/>
          <w:highlight w:val="none"/>
        </w:rPr>
      </w:pPr>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m:sty m:val="p"/>
          </m:rPr>
          <w:rPr>
            <w:rFonts w:ascii="Cambria Math" w:hAnsi="Cambria Math"/>
            <w:color w:val="000000" w:themeColor="text1"/>
            <w:sz w:val="22"/>
            <w:highlight w:val="none"/>
            <w14:textFill>
              <w14:solidFill>
                <w14:schemeClr w14:val="tx1"/>
              </w14:solidFill>
            </w14:textFill>
          </w:rPr>
          <m:t>=</m:t>
        </m:r>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Sub>
      </m:oMath>
      <w:r>
        <w:rPr>
          <w:color w:val="000000" w:themeColor="text1"/>
          <w:sz w:val="22"/>
          <w:highlight w:val="none"/>
          <w14:textFill>
            <w14:solidFill>
              <w14:schemeClr w14:val="tx1"/>
            </w14:solidFill>
          </w14:textFill>
        </w:rPr>
        <w:t>=</w:t>
      </w:r>
      <w:r>
        <w:rPr>
          <w:color w:val="000000"/>
          <w:szCs w:val="21"/>
          <w:highlight w:val="none"/>
        </w:rPr>
        <w:t>0.06</w:t>
      </w:r>
    </w:p>
    <w:p w14:paraId="47A9D29A">
      <w:pPr>
        <w:widowControl/>
        <w:snapToGrid w:val="0"/>
        <w:spacing w:line="300" w:lineRule="auto"/>
        <w:ind w:firstLine="440"/>
        <w:jc w:val="center"/>
        <w:rPr>
          <w:color w:val="000000" w:themeColor="text1"/>
          <w:sz w:val="22"/>
          <w:highlight w:val="none"/>
          <w14:textFill>
            <w14:solidFill>
              <w14:schemeClr w14:val="tx1"/>
            </w14:solidFill>
          </w14:textFill>
        </w:rPr>
      </w:pPr>
    </w:p>
    <w:p w14:paraId="076FD904">
      <w:pPr>
        <w:widowControl/>
        <w:snapToGrid w:val="0"/>
        <w:spacing w:line="300" w:lineRule="auto"/>
        <w:ind w:firstLine="440"/>
        <w:jc w:val="center"/>
        <w:rPr>
          <w:color w:val="000000" w:themeColor="text1"/>
          <w:sz w:val="22"/>
          <w:highlight w:val="none"/>
          <w14:textFill>
            <w14:solidFill>
              <w14:schemeClr w14:val="tx1"/>
            </w14:solidFill>
          </w14:textFill>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rD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=0.06</m:t>
          </m:r>
        </m:oMath>
      </m:oMathPara>
    </w:p>
    <w:p w14:paraId="16606F51">
      <w:pPr>
        <w:widowControl/>
        <w:snapToGrid w:val="0"/>
        <w:spacing w:line="300" w:lineRule="auto"/>
        <w:ind w:firstLine="440"/>
        <w:jc w:val="center"/>
        <w:rPr>
          <w:color w:val="000000" w:themeColor="text1"/>
          <w:sz w:val="22"/>
          <w:highlight w:val="none"/>
          <w14:textFill>
            <w14:solidFill>
              <w14:schemeClr w14:val="tx1"/>
            </w14:solidFill>
          </w14:textFill>
        </w:rPr>
      </w:pPr>
    </w:p>
    <w:p w14:paraId="6319A9E2">
      <w:pPr>
        <w:widowControl/>
        <w:snapToGrid w:val="0"/>
        <w:spacing w:line="300" w:lineRule="auto"/>
        <w:ind w:firstLine="440"/>
        <w:jc w:val="center"/>
        <w:rPr>
          <w:color w:val="000000" w:themeColor="text1"/>
          <w:sz w:val="22"/>
          <w:highlight w:val="none"/>
          <w14:textFill>
            <w14:solidFill>
              <w14:schemeClr w14:val="tx1"/>
            </w14:solidFill>
          </w14:textFill>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R</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L</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=0.24</m:t>
          </m:r>
        </m:oMath>
      </m:oMathPara>
    </w:p>
    <w:p w14:paraId="30A0B14C">
      <w:pPr>
        <w:widowControl/>
        <w:snapToGrid w:val="0"/>
        <w:spacing w:line="300" w:lineRule="auto"/>
        <w:ind w:firstLine="440"/>
        <w:jc w:val="center"/>
        <w:rPr>
          <w:i/>
          <w:color w:val="000000" w:themeColor="text1"/>
          <w:sz w:val="22"/>
          <w:highlight w:val="none"/>
          <w14:textFill>
            <w14:solidFill>
              <w14:schemeClr w14:val="tx1"/>
            </w14:solidFill>
          </w14:textFill>
        </w:rPr>
      </w:pPr>
    </w:p>
    <w:p w14:paraId="08A82C01">
      <w:pPr>
        <w:widowControl/>
        <w:snapToGrid w:val="0"/>
        <w:spacing w:line="300" w:lineRule="auto"/>
        <w:ind w:firstLine="440"/>
        <w:jc w:val="center"/>
        <w:rPr>
          <w:sz w:val="22"/>
          <w:highlight w:val="none"/>
        </w:rPr>
      </w:pPr>
      <w:r>
        <w:rPr>
          <w:i/>
          <w:color w:val="000000" w:themeColor="text1"/>
          <w:sz w:val="22"/>
          <w:highlight w:val="none"/>
          <w14:textFill>
            <w14:solidFill>
              <w14:schemeClr w14:val="tx1"/>
            </w14:solidFill>
          </w14:textFill>
        </w:rPr>
        <w:t>r</w:t>
      </w:r>
      <w:r>
        <w:rPr>
          <w:color w:val="000000" w:themeColor="text1"/>
          <w:sz w:val="22"/>
          <w:highlight w:val="none"/>
          <w14:textFill>
            <w14:solidFill>
              <w14:schemeClr w14:val="tx1"/>
            </w14:solidFill>
          </w14:textFill>
        </w:rPr>
        <w:t>=</w:t>
      </w:r>
      <w:r>
        <w:rPr>
          <w:sz w:val="22"/>
          <w:highlight w:val="none"/>
        </w:rPr>
        <w:t>2.83</w:t>
      </w:r>
      <w:r>
        <w:rPr>
          <w:i/>
          <w:color w:val="000000" w:themeColor="text1"/>
          <w:sz w:val="22"/>
          <w:highlight w:val="none"/>
          <w14:textFill>
            <w14:solidFill>
              <w14:schemeClr w14:val="tx1"/>
            </w14:solidFill>
          </w14:textFill>
        </w:rPr>
        <w:t>σ</w:t>
      </w:r>
      <w:r>
        <w:rPr>
          <w:color w:val="000000" w:themeColor="text1"/>
          <w:sz w:val="22"/>
          <w:highlight w:val="none"/>
          <w:vertAlign w:val="subscript"/>
          <w14:textFill>
            <w14:solidFill>
              <w14:schemeClr w14:val="tx1"/>
            </w14:solidFill>
          </w14:textFill>
        </w:rPr>
        <w:t>M</w:t>
      </w:r>
      <w:r>
        <w:rPr>
          <w:color w:val="000000" w:themeColor="text1"/>
          <w:sz w:val="22"/>
          <w:highlight w:val="none"/>
          <w14:textFill>
            <w14:solidFill>
              <w14:schemeClr w14:val="tx1"/>
            </w14:solidFill>
          </w14:textFill>
        </w:rPr>
        <w:t>=</w:t>
      </w:r>
      <w:r>
        <w:rPr>
          <w:sz w:val="22"/>
          <w:highlight w:val="none"/>
        </w:rPr>
        <w:t>2.83</w:t>
      </w:r>
      <m:oMath>
        <m:r>
          <m:rPr>
            <m:sty m:val="p"/>
          </m:rPr>
          <w:rPr>
            <w:rFonts w:ascii="Cambria Math" w:hAnsi="Cambria Math"/>
            <w:sz w:val="22"/>
            <w:highlight w:val="none"/>
          </w:rPr>
          <m:t>×0.24</m:t>
        </m:r>
      </m:oMath>
      <w:r>
        <w:rPr>
          <w:color w:val="000000" w:themeColor="text1"/>
          <w:sz w:val="22"/>
          <w:highlight w:val="none"/>
          <w14:textFill>
            <w14:solidFill>
              <w14:schemeClr w14:val="tx1"/>
            </w14:solidFill>
          </w14:textFill>
        </w:rPr>
        <w:t>=0.68</w:t>
      </w:r>
    </w:p>
    <w:p w14:paraId="5876C52B">
      <w:pPr>
        <w:widowControl/>
        <w:snapToGrid w:val="0"/>
        <w:spacing w:line="300" w:lineRule="auto"/>
        <w:ind w:firstLine="440"/>
        <w:jc w:val="center"/>
        <w:rPr>
          <w:i/>
          <w:color w:val="000000" w:themeColor="text1"/>
          <w:sz w:val="22"/>
          <w:highlight w:val="none"/>
          <w14:textFill>
            <w14:solidFill>
              <w14:schemeClr w14:val="tx1"/>
            </w14:solidFill>
          </w14:textFill>
        </w:rPr>
      </w:pPr>
    </w:p>
    <w:p w14:paraId="1E735BA5">
      <w:pPr>
        <w:widowControl/>
        <w:snapToGrid w:val="0"/>
        <w:spacing w:line="300" w:lineRule="auto"/>
        <w:ind w:firstLine="440"/>
        <w:jc w:val="center"/>
        <w:rPr>
          <w:color w:val="000000" w:themeColor="text1"/>
          <w:sz w:val="22"/>
          <w:highlight w:val="none"/>
          <w14:textFill>
            <w14:solidFill>
              <w14:schemeClr w14:val="tx1"/>
            </w14:solidFill>
          </w14:textFill>
        </w:rPr>
      </w:pPr>
      <w:r>
        <w:rPr>
          <w:i/>
          <w:color w:val="000000" w:themeColor="text1"/>
          <w:sz w:val="22"/>
          <w:highlight w:val="none"/>
          <w14:textFill>
            <w14:solidFill>
              <w14:schemeClr w14:val="tx1"/>
            </w14:solidFill>
          </w14:textFill>
        </w:rPr>
        <w:t>r</w:t>
      </w:r>
      <w:r>
        <w:rPr>
          <w:color w:val="000000" w:themeColor="text1"/>
          <w:sz w:val="22"/>
          <w:highlight w:val="none"/>
          <w:vertAlign w:val="subscript"/>
          <w14:textFill>
            <w14:solidFill>
              <w14:schemeClr w14:val="tx1"/>
            </w14:solidFill>
          </w14:textFill>
        </w:rPr>
        <w:t>D</w:t>
      </w:r>
      <w:r>
        <w:rPr>
          <w:color w:val="000000" w:themeColor="text1"/>
          <w:sz w:val="22"/>
          <w:highlight w:val="none"/>
          <w14:textFill>
            <w14:solidFill>
              <w14:schemeClr w14:val="tx1"/>
            </w14:solidFill>
          </w14:textFill>
        </w:rPr>
        <w:t>=</w:t>
      </w:r>
      <w:r>
        <w:rPr>
          <w:sz w:val="22"/>
          <w:highlight w:val="none"/>
        </w:rPr>
        <w:t>2.83</w:t>
      </w:r>
      <w:r>
        <w:rPr>
          <w:i/>
          <w:color w:val="000000" w:themeColor="text1"/>
          <w:sz w:val="22"/>
          <w:highlight w:val="none"/>
          <w14:textFill>
            <w14:solidFill>
              <w14:schemeClr w14:val="tx1"/>
            </w14:solidFill>
          </w14:textFill>
        </w:rPr>
        <w:t>s</w:t>
      </w:r>
      <w:r>
        <w:rPr>
          <w:color w:val="000000" w:themeColor="text1"/>
          <w:sz w:val="22"/>
          <w:highlight w:val="none"/>
          <w:vertAlign w:val="subscript"/>
          <w14:textFill>
            <w14:solidFill>
              <w14:schemeClr w14:val="tx1"/>
            </w14:solidFill>
          </w14:textFill>
        </w:rPr>
        <w:t>rD</w:t>
      </w:r>
      <w:r>
        <w:rPr>
          <w:color w:val="000000" w:themeColor="text1"/>
          <w:sz w:val="22"/>
          <w:highlight w:val="none"/>
          <w14:textFill>
            <w14:solidFill>
              <w14:schemeClr w14:val="tx1"/>
            </w14:solidFill>
          </w14:textFill>
        </w:rPr>
        <w:t>=</w:t>
      </w:r>
      <w:r>
        <w:rPr>
          <w:sz w:val="22"/>
          <w:highlight w:val="none"/>
        </w:rPr>
        <w:t>2.83</w:t>
      </w:r>
      <m:oMath>
        <m:r>
          <m:rPr>
            <m:sty m:val="p"/>
          </m:rPr>
          <w:rPr>
            <w:rFonts w:ascii="Cambria Math" w:hAnsi="Cambria Math"/>
            <w:sz w:val="22"/>
            <w:highlight w:val="none"/>
          </w:rPr>
          <m:t xml:space="preserve">×0.24 </m:t>
        </m:r>
      </m:oMath>
      <w:r>
        <w:rPr>
          <w:color w:val="000000" w:themeColor="text1"/>
          <w:sz w:val="22"/>
          <w:highlight w:val="none"/>
          <w14:textFill>
            <w14:solidFill>
              <w14:schemeClr w14:val="tx1"/>
            </w14:solidFill>
          </w14:textFill>
        </w:rPr>
        <w:t>=0.68</w:t>
      </w:r>
    </w:p>
    <w:p w14:paraId="765C5077">
      <w:pPr>
        <w:widowControl/>
        <w:snapToGrid w:val="0"/>
        <w:spacing w:line="300" w:lineRule="auto"/>
        <w:ind w:firstLine="440"/>
        <w:jc w:val="center"/>
        <w:rPr>
          <w:i/>
          <w:color w:val="000000" w:themeColor="text1"/>
          <w:sz w:val="22"/>
          <w:highlight w:val="none"/>
          <w14:textFill>
            <w14:solidFill>
              <w14:schemeClr w14:val="tx1"/>
            </w14:solidFill>
          </w14:textFill>
        </w:rPr>
      </w:pPr>
    </w:p>
    <w:p w14:paraId="020AE934">
      <w:pPr>
        <w:widowControl/>
        <w:snapToGrid w:val="0"/>
        <w:spacing w:line="300" w:lineRule="auto"/>
        <w:ind w:firstLine="440"/>
        <w:jc w:val="center"/>
        <w:rPr>
          <w:sz w:val="22"/>
          <w:highlight w:val="none"/>
        </w:rPr>
      </w:pPr>
      <w:r>
        <w:rPr>
          <w:i/>
          <w:color w:val="000000" w:themeColor="text1"/>
          <w:sz w:val="22"/>
          <w:highlight w:val="none"/>
          <w14:textFill>
            <w14:solidFill>
              <w14:schemeClr w14:val="tx1"/>
            </w14:solidFill>
          </w14:textFill>
        </w:rPr>
        <w:t>R</w:t>
      </w:r>
      <w:r>
        <w:rPr>
          <w:b/>
          <w:color w:val="000000" w:themeColor="text1"/>
          <w:sz w:val="22"/>
          <w:highlight w:val="none"/>
          <w14:textFill>
            <w14:solidFill>
              <w14:schemeClr w14:val="tx1"/>
            </w14:solidFill>
          </w14:textFill>
        </w:rPr>
        <w:t>=</w:t>
      </w:r>
      <w:r>
        <w:rPr>
          <w:sz w:val="22"/>
          <w:highlight w:val="none"/>
        </w:rPr>
        <w:t>2.83</w:t>
      </w:r>
      <w:r>
        <w:rPr>
          <w:i/>
          <w:color w:val="000000" w:themeColor="text1"/>
          <w:sz w:val="22"/>
          <w:highlight w:val="none"/>
          <w14:textFill>
            <w14:solidFill>
              <w14:schemeClr w14:val="tx1"/>
            </w14:solidFill>
          </w14:textFill>
        </w:rPr>
        <w:t>s</w:t>
      </w:r>
      <w:r>
        <w:rPr>
          <w:color w:val="000000" w:themeColor="text1"/>
          <w:sz w:val="22"/>
          <w:highlight w:val="none"/>
          <w:vertAlign w:val="subscript"/>
          <w14:textFill>
            <w14:solidFill>
              <w14:schemeClr w14:val="tx1"/>
            </w14:solidFill>
          </w14:textFill>
        </w:rPr>
        <w:t>R</w:t>
      </w:r>
      <w:r>
        <w:rPr>
          <w:color w:val="000000" w:themeColor="text1"/>
          <w:sz w:val="22"/>
          <w:highlight w:val="none"/>
          <w14:textFill>
            <w14:solidFill>
              <w14:schemeClr w14:val="tx1"/>
            </w14:solidFill>
          </w14:textFill>
        </w:rPr>
        <w:t>=</w:t>
      </w:r>
      <w:r>
        <w:rPr>
          <w:sz w:val="22"/>
          <w:highlight w:val="none"/>
        </w:rPr>
        <w:t>2.83</w:t>
      </w:r>
      <m:oMath>
        <m:r>
          <m:rPr>
            <m:sty m:val="p"/>
          </m:rPr>
          <w:rPr>
            <w:rFonts w:ascii="Cambria Math" w:hAnsi="Cambria Math"/>
            <w:sz w:val="22"/>
            <w:highlight w:val="none"/>
          </w:rPr>
          <m:t>×</m:t>
        </m:r>
        <m:r>
          <m:rPr/>
          <w:rPr>
            <w:rFonts w:ascii="Cambria Math" w:hAnsi="Cambria Math"/>
            <w:color w:val="000000" w:themeColor="text1"/>
            <w:sz w:val="22"/>
            <w:highlight w:val="none"/>
            <w14:textFill>
              <w14:solidFill>
                <w14:schemeClr w14:val="tx1"/>
              </w14:solidFill>
            </w14:textFill>
          </w:rPr>
          <m:t>0.49</m:t>
        </m:r>
      </m:oMath>
      <w:r>
        <w:rPr>
          <w:sz w:val="22"/>
          <w:highlight w:val="none"/>
        </w:rPr>
        <w:t>=</w:t>
      </w:r>
      <w:r>
        <w:rPr>
          <w:rFonts w:hint="eastAsia"/>
          <w:sz w:val="22"/>
          <w:highlight w:val="none"/>
        </w:rPr>
        <w:t>1.37</w:t>
      </w:r>
    </w:p>
    <w:p w14:paraId="7C4153D5">
      <w:pPr>
        <w:jc w:val="center"/>
        <w:rPr>
          <w:rFonts w:eastAsia="黑体"/>
          <w:bCs/>
          <w:highlight w:val="none"/>
        </w:rPr>
      </w:pPr>
      <w:r>
        <w:rPr>
          <w:rFonts w:eastAsia="黑体"/>
          <w:bCs/>
          <w:highlight w:val="none"/>
        </w:rPr>
        <w:t>表</w:t>
      </w:r>
      <w:r>
        <w:rPr>
          <w:rFonts w:hint="eastAsia" w:eastAsia="黑体"/>
          <w:bCs/>
          <w:highlight w:val="none"/>
        </w:rPr>
        <w:t>9</w:t>
      </w:r>
      <w:r>
        <w:rPr>
          <w:rFonts w:eastAsia="黑体"/>
          <w:bCs/>
          <w:highlight w:val="none"/>
        </w:rPr>
        <w:t>样品B的 ITP结果和补充统计数据（方法A）</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326"/>
        <w:gridCol w:w="1326"/>
        <w:gridCol w:w="1326"/>
        <w:gridCol w:w="1328"/>
        <w:gridCol w:w="1328"/>
        <w:gridCol w:w="1326"/>
      </w:tblGrid>
      <w:tr w14:paraId="0686C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4FB24E00">
            <w:pPr>
              <w:jc w:val="center"/>
              <w:rPr>
                <w:rFonts w:eastAsiaTheme="minorEastAsia"/>
                <w:szCs w:val="21"/>
                <w:highlight w:val="none"/>
              </w:rPr>
            </w:pPr>
            <w:r>
              <w:rPr>
                <w:rFonts w:eastAsia="仿宋"/>
                <w:kern w:val="0"/>
                <w:szCs w:val="21"/>
                <w:highlight w:val="none"/>
              </w:rPr>
              <w:t>实验室p,p=6</w:t>
            </w:r>
          </w:p>
        </w:tc>
        <w:tc>
          <w:tcPr>
            <w:tcW w:w="714" w:type="pct"/>
            <w:vMerge w:val="restart"/>
            <w:vAlign w:val="center"/>
          </w:tcPr>
          <w:p w14:paraId="06673A42">
            <w:pPr>
              <w:jc w:val="center"/>
              <w:rPr>
                <w:rFonts w:eastAsiaTheme="minorEastAsia"/>
                <w:szCs w:val="21"/>
                <w:highlight w:val="none"/>
              </w:rPr>
            </w:pPr>
            <w:r>
              <w:rPr>
                <w:rFonts w:eastAsia="仿宋"/>
                <w:kern w:val="0"/>
                <w:szCs w:val="21"/>
                <w:highlight w:val="none"/>
              </w:rPr>
              <w:t>天q，q=2</w:t>
            </w:r>
          </w:p>
        </w:tc>
        <w:tc>
          <w:tcPr>
            <w:tcW w:w="2143" w:type="pct"/>
            <w:gridSpan w:val="3"/>
            <w:vAlign w:val="center"/>
          </w:tcPr>
          <w:p w14:paraId="4132AACD">
            <w:pPr>
              <w:jc w:val="center"/>
              <w:rPr>
                <w:rFonts w:eastAsiaTheme="minorEastAsia"/>
                <w:szCs w:val="21"/>
                <w:highlight w:val="none"/>
              </w:rPr>
            </w:pPr>
            <w:r>
              <w:rPr>
                <w:rFonts w:eastAsiaTheme="minorEastAsia"/>
                <w:szCs w:val="21"/>
                <w:highlight w:val="none"/>
              </w:rPr>
              <w:t>试验结果</w:t>
            </w:r>
          </w:p>
        </w:tc>
        <w:tc>
          <w:tcPr>
            <w:tcW w:w="715" w:type="pct"/>
            <w:vAlign w:val="center"/>
          </w:tcPr>
          <w:p w14:paraId="4FCF567C">
            <w:pPr>
              <w:jc w:val="center"/>
              <w:rPr>
                <w:rFonts w:eastAsiaTheme="minorEastAsia"/>
                <w:szCs w:val="21"/>
                <w:highlight w:val="none"/>
              </w:rPr>
            </w:pPr>
            <w:r>
              <w:rPr>
                <w:rFonts w:eastAsiaTheme="minorEastAsia"/>
                <w:szCs w:val="21"/>
                <w:highlight w:val="none"/>
              </w:rPr>
              <w:t>数据总和</w:t>
            </w:r>
          </w:p>
        </w:tc>
        <w:tc>
          <w:tcPr>
            <w:tcW w:w="714" w:type="pct"/>
            <w:vAlign w:val="center"/>
          </w:tcPr>
          <w:p w14:paraId="6035AEFB">
            <w:pPr>
              <w:jc w:val="center"/>
              <w:rPr>
                <w:rFonts w:eastAsiaTheme="minorEastAsia"/>
                <w:szCs w:val="21"/>
                <w:highlight w:val="none"/>
              </w:rPr>
            </w:pPr>
            <w:r>
              <w:rPr>
                <w:rFonts w:eastAsiaTheme="minorEastAsia"/>
                <w:szCs w:val="21"/>
                <w:highlight w:val="none"/>
              </w:rPr>
              <w:t>天总和</w:t>
            </w:r>
          </w:p>
        </w:tc>
      </w:tr>
      <w:tr w14:paraId="1605E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7CAD770A">
            <w:pPr>
              <w:jc w:val="center"/>
              <w:rPr>
                <w:rFonts w:eastAsiaTheme="minorEastAsia"/>
                <w:szCs w:val="21"/>
                <w:highlight w:val="none"/>
              </w:rPr>
            </w:pPr>
          </w:p>
        </w:tc>
        <w:tc>
          <w:tcPr>
            <w:tcW w:w="714" w:type="pct"/>
            <w:vMerge w:val="continue"/>
            <w:vAlign w:val="center"/>
          </w:tcPr>
          <w:p w14:paraId="25BCB9B7">
            <w:pPr>
              <w:jc w:val="center"/>
              <w:rPr>
                <w:rFonts w:eastAsiaTheme="minorEastAsia"/>
                <w:szCs w:val="21"/>
                <w:highlight w:val="none"/>
              </w:rPr>
            </w:pPr>
          </w:p>
        </w:tc>
        <w:tc>
          <w:tcPr>
            <w:tcW w:w="714" w:type="pct"/>
            <w:vAlign w:val="center"/>
          </w:tcPr>
          <w:p w14:paraId="542D575A">
            <w:pPr>
              <w:jc w:val="center"/>
              <w:rPr>
                <w:rFonts w:eastAsiaTheme="minorEastAsia"/>
                <w:szCs w:val="21"/>
                <w:highlight w:val="none"/>
              </w:rPr>
            </w:pPr>
            <w:r>
              <w:rPr>
                <w:rFonts w:eastAsiaTheme="minorEastAsia"/>
                <w:szCs w:val="21"/>
                <w:highlight w:val="none"/>
              </w:rPr>
              <w:t>M1</w:t>
            </w:r>
          </w:p>
        </w:tc>
        <w:tc>
          <w:tcPr>
            <w:tcW w:w="714" w:type="pct"/>
            <w:vAlign w:val="center"/>
          </w:tcPr>
          <w:p w14:paraId="6A7D0889">
            <w:pPr>
              <w:jc w:val="center"/>
              <w:rPr>
                <w:rFonts w:eastAsiaTheme="minorEastAsia"/>
                <w:szCs w:val="21"/>
                <w:highlight w:val="none"/>
              </w:rPr>
            </w:pPr>
            <w:r>
              <w:rPr>
                <w:rFonts w:eastAsiaTheme="minorEastAsia"/>
                <w:szCs w:val="21"/>
                <w:highlight w:val="none"/>
              </w:rPr>
              <w:t>M2</w:t>
            </w:r>
          </w:p>
        </w:tc>
        <w:tc>
          <w:tcPr>
            <w:tcW w:w="715" w:type="pct"/>
            <w:vAlign w:val="center"/>
          </w:tcPr>
          <w:p w14:paraId="59BD5EBD">
            <w:pPr>
              <w:jc w:val="center"/>
              <w:rPr>
                <w:rFonts w:eastAsiaTheme="minorEastAsia"/>
                <w:szCs w:val="21"/>
                <w:highlight w:val="none"/>
              </w:rPr>
            </w:pPr>
            <w:r>
              <w:rPr>
                <w:rFonts w:eastAsiaTheme="minorEastAsia"/>
                <w:szCs w:val="21"/>
                <w:highlight w:val="none"/>
              </w:rPr>
              <w:t>M3</w:t>
            </w:r>
          </w:p>
        </w:tc>
        <w:tc>
          <w:tcPr>
            <w:tcW w:w="715" w:type="pct"/>
            <w:vAlign w:val="center"/>
          </w:tcPr>
          <w:p w14:paraId="50E852E0">
            <w:pPr>
              <w:jc w:val="center"/>
              <w:rPr>
                <w:rFonts w:eastAsiaTheme="minorEastAsia"/>
                <w:szCs w:val="21"/>
                <w:highlight w:val="none"/>
              </w:rPr>
            </w:pPr>
            <w:r>
              <w:rPr>
                <w:rFonts w:eastAsiaTheme="minorEastAsia"/>
                <w:i/>
                <w:szCs w:val="21"/>
                <w:highlight w:val="none"/>
              </w:rPr>
              <w:t>T</w:t>
            </w:r>
            <w:r>
              <w:rPr>
                <w:rFonts w:eastAsiaTheme="minorEastAsia"/>
                <w:szCs w:val="21"/>
                <w:highlight w:val="none"/>
                <w:vertAlign w:val="subscript"/>
              </w:rPr>
              <w:t>ij.</w:t>
            </w:r>
          </w:p>
        </w:tc>
        <w:tc>
          <w:tcPr>
            <w:tcW w:w="714" w:type="pct"/>
            <w:vAlign w:val="center"/>
          </w:tcPr>
          <w:p w14:paraId="7BC02986">
            <w:pPr>
              <w:jc w:val="center"/>
              <w:rPr>
                <w:rFonts w:eastAsiaTheme="minorEastAsia"/>
                <w:szCs w:val="21"/>
                <w:highlight w:val="none"/>
              </w:rPr>
            </w:pPr>
            <w:r>
              <w:rPr>
                <w:rFonts w:eastAsiaTheme="minorEastAsia"/>
                <w:i/>
                <w:szCs w:val="21"/>
                <w:highlight w:val="none"/>
              </w:rPr>
              <w:t>T</w:t>
            </w:r>
            <w:r>
              <w:rPr>
                <w:rFonts w:eastAsiaTheme="minorEastAsia"/>
                <w:szCs w:val="21"/>
                <w:highlight w:val="none"/>
                <w:vertAlign w:val="subscript"/>
              </w:rPr>
              <w:t>i..</w:t>
            </w:r>
          </w:p>
        </w:tc>
      </w:tr>
      <w:tr w14:paraId="523D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7B28691C">
            <w:pPr>
              <w:jc w:val="center"/>
              <w:rPr>
                <w:rFonts w:hint="eastAsia" w:eastAsiaTheme="minorEastAsia"/>
                <w:szCs w:val="21"/>
                <w:highlight w:val="none"/>
                <w:lang w:eastAsia="zh-CN"/>
              </w:rPr>
            </w:pPr>
            <w:r>
              <w:rPr>
                <w:rFonts w:hint="eastAsia" w:eastAsiaTheme="minorEastAsia"/>
                <w:szCs w:val="21"/>
                <w:highlight w:val="none"/>
                <w:lang w:val="en-US" w:eastAsia="zh-CN"/>
              </w:rPr>
              <w:t>1</w:t>
            </w:r>
          </w:p>
        </w:tc>
        <w:tc>
          <w:tcPr>
            <w:tcW w:w="1326" w:type="dxa"/>
            <w:vAlign w:val="center"/>
          </w:tcPr>
          <w:p w14:paraId="58555E0B">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5E05A409">
            <w:pPr>
              <w:jc w:val="center"/>
              <w:rPr>
                <w:rFonts w:eastAsiaTheme="minorEastAsia"/>
                <w:color w:val="000000"/>
                <w:szCs w:val="21"/>
                <w:highlight w:val="none"/>
              </w:rPr>
            </w:pPr>
            <w:r>
              <w:rPr>
                <w:color w:val="000000"/>
                <w:szCs w:val="21"/>
                <w:highlight w:val="none"/>
              </w:rPr>
              <w:t>6.6</w:t>
            </w:r>
          </w:p>
        </w:tc>
        <w:tc>
          <w:tcPr>
            <w:tcW w:w="714" w:type="pct"/>
            <w:vAlign w:val="center"/>
          </w:tcPr>
          <w:p w14:paraId="1972D785">
            <w:pPr>
              <w:jc w:val="center"/>
              <w:rPr>
                <w:rFonts w:eastAsiaTheme="minorEastAsia"/>
                <w:color w:val="000000"/>
                <w:szCs w:val="21"/>
                <w:highlight w:val="none"/>
              </w:rPr>
            </w:pPr>
            <w:r>
              <w:rPr>
                <w:color w:val="000000"/>
                <w:szCs w:val="21"/>
                <w:highlight w:val="none"/>
              </w:rPr>
              <w:t>6.2</w:t>
            </w:r>
          </w:p>
        </w:tc>
        <w:tc>
          <w:tcPr>
            <w:tcW w:w="715" w:type="pct"/>
            <w:vAlign w:val="center"/>
          </w:tcPr>
          <w:p w14:paraId="65C2D285">
            <w:pPr>
              <w:jc w:val="center"/>
              <w:rPr>
                <w:rFonts w:eastAsiaTheme="minorEastAsia"/>
                <w:color w:val="000000"/>
                <w:szCs w:val="21"/>
                <w:highlight w:val="none"/>
              </w:rPr>
            </w:pPr>
            <w:r>
              <w:rPr>
                <w:color w:val="000000"/>
                <w:szCs w:val="21"/>
                <w:highlight w:val="none"/>
              </w:rPr>
              <w:t>6.4</w:t>
            </w:r>
          </w:p>
        </w:tc>
        <w:tc>
          <w:tcPr>
            <w:tcW w:w="715" w:type="pct"/>
            <w:vAlign w:val="center"/>
          </w:tcPr>
          <w:p w14:paraId="7E1323E9">
            <w:pPr>
              <w:jc w:val="center"/>
              <w:rPr>
                <w:rFonts w:eastAsiaTheme="minorEastAsia"/>
                <w:color w:val="000000"/>
                <w:szCs w:val="21"/>
                <w:highlight w:val="none"/>
              </w:rPr>
            </w:pPr>
            <w:r>
              <w:rPr>
                <w:color w:val="000000"/>
                <w:szCs w:val="21"/>
                <w:highlight w:val="none"/>
              </w:rPr>
              <w:t>19.2</w:t>
            </w:r>
          </w:p>
        </w:tc>
        <w:tc>
          <w:tcPr>
            <w:tcW w:w="714" w:type="pct"/>
            <w:vMerge w:val="restart"/>
            <w:vAlign w:val="center"/>
          </w:tcPr>
          <w:p w14:paraId="3F559B8E">
            <w:pPr>
              <w:jc w:val="center"/>
              <w:rPr>
                <w:rFonts w:eastAsiaTheme="minorEastAsia"/>
                <w:color w:val="000000"/>
                <w:szCs w:val="21"/>
                <w:highlight w:val="none"/>
              </w:rPr>
            </w:pPr>
            <w:r>
              <w:rPr>
                <w:color w:val="000000"/>
                <w:szCs w:val="21"/>
                <w:highlight w:val="none"/>
              </w:rPr>
              <w:t>37</w:t>
            </w:r>
          </w:p>
        </w:tc>
      </w:tr>
      <w:tr w14:paraId="6F580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175CF64F">
            <w:pPr>
              <w:jc w:val="center"/>
              <w:rPr>
                <w:rFonts w:eastAsiaTheme="minorEastAsia"/>
                <w:szCs w:val="21"/>
                <w:highlight w:val="none"/>
              </w:rPr>
            </w:pPr>
          </w:p>
        </w:tc>
        <w:tc>
          <w:tcPr>
            <w:tcW w:w="1326" w:type="dxa"/>
            <w:vAlign w:val="center"/>
          </w:tcPr>
          <w:p w14:paraId="646205B2">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1F816511">
            <w:pPr>
              <w:jc w:val="center"/>
              <w:rPr>
                <w:rFonts w:eastAsiaTheme="minorEastAsia"/>
                <w:color w:val="000000"/>
                <w:szCs w:val="21"/>
                <w:highlight w:val="none"/>
              </w:rPr>
            </w:pPr>
            <w:r>
              <w:rPr>
                <w:color w:val="000000"/>
                <w:szCs w:val="21"/>
                <w:highlight w:val="none"/>
              </w:rPr>
              <w:t>5.9</w:t>
            </w:r>
          </w:p>
        </w:tc>
        <w:tc>
          <w:tcPr>
            <w:tcW w:w="714" w:type="pct"/>
            <w:vAlign w:val="center"/>
          </w:tcPr>
          <w:p w14:paraId="420F0A21">
            <w:pPr>
              <w:jc w:val="center"/>
              <w:rPr>
                <w:rFonts w:eastAsiaTheme="minorEastAsia"/>
                <w:color w:val="000000"/>
                <w:szCs w:val="21"/>
                <w:highlight w:val="none"/>
              </w:rPr>
            </w:pPr>
            <w:r>
              <w:rPr>
                <w:color w:val="000000"/>
                <w:szCs w:val="21"/>
                <w:highlight w:val="none"/>
              </w:rPr>
              <w:t>6.0</w:t>
            </w:r>
          </w:p>
        </w:tc>
        <w:tc>
          <w:tcPr>
            <w:tcW w:w="715" w:type="pct"/>
            <w:vAlign w:val="center"/>
          </w:tcPr>
          <w:p w14:paraId="56045C5E">
            <w:pPr>
              <w:jc w:val="center"/>
              <w:rPr>
                <w:rFonts w:eastAsiaTheme="minorEastAsia"/>
                <w:color w:val="000000"/>
                <w:szCs w:val="21"/>
                <w:highlight w:val="none"/>
              </w:rPr>
            </w:pPr>
            <w:r>
              <w:rPr>
                <w:color w:val="000000"/>
                <w:szCs w:val="21"/>
                <w:highlight w:val="none"/>
              </w:rPr>
              <w:t>5.9</w:t>
            </w:r>
          </w:p>
        </w:tc>
        <w:tc>
          <w:tcPr>
            <w:tcW w:w="715" w:type="pct"/>
            <w:vAlign w:val="center"/>
          </w:tcPr>
          <w:p w14:paraId="00586DD3">
            <w:pPr>
              <w:jc w:val="center"/>
              <w:rPr>
                <w:rFonts w:eastAsiaTheme="minorEastAsia"/>
                <w:color w:val="000000"/>
                <w:szCs w:val="21"/>
                <w:highlight w:val="none"/>
              </w:rPr>
            </w:pPr>
            <w:r>
              <w:rPr>
                <w:color w:val="000000"/>
                <w:szCs w:val="21"/>
                <w:highlight w:val="none"/>
              </w:rPr>
              <w:t>17.8</w:t>
            </w:r>
          </w:p>
        </w:tc>
        <w:tc>
          <w:tcPr>
            <w:tcW w:w="714" w:type="pct"/>
            <w:vMerge w:val="continue"/>
            <w:vAlign w:val="center"/>
          </w:tcPr>
          <w:p w14:paraId="5B79EBCD">
            <w:pPr>
              <w:jc w:val="center"/>
              <w:rPr>
                <w:rFonts w:eastAsiaTheme="minorEastAsia"/>
                <w:szCs w:val="21"/>
                <w:highlight w:val="none"/>
              </w:rPr>
            </w:pPr>
          </w:p>
        </w:tc>
      </w:tr>
      <w:tr w14:paraId="16E8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1E3E4E30">
            <w:pPr>
              <w:jc w:val="center"/>
              <w:rPr>
                <w:rFonts w:hint="eastAsia" w:eastAsiaTheme="minorEastAsia"/>
                <w:szCs w:val="21"/>
                <w:highlight w:val="none"/>
                <w:lang w:eastAsia="zh-CN"/>
              </w:rPr>
            </w:pPr>
            <w:r>
              <w:rPr>
                <w:rFonts w:hint="eastAsia" w:eastAsiaTheme="minorEastAsia"/>
                <w:szCs w:val="21"/>
                <w:highlight w:val="none"/>
                <w:lang w:val="en-US" w:eastAsia="zh-CN"/>
              </w:rPr>
              <w:t>2</w:t>
            </w:r>
          </w:p>
        </w:tc>
        <w:tc>
          <w:tcPr>
            <w:tcW w:w="1326" w:type="dxa"/>
            <w:vAlign w:val="center"/>
          </w:tcPr>
          <w:p w14:paraId="574A543D">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598E88F7">
            <w:pPr>
              <w:jc w:val="center"/>
              <w:rPr>
                <w:rFonts w:eastAsiaTheme="minorEastAsia"/>
                <w:color w:val="000000"/>
                <w:szCs w:val="21"/>
                <w:highlight w:val="none"/>
              </w:rPr>
            </w:pPr>
            <w:r>
              <w:rPr>
                <w:color w:val="000000"/>
                <w:szCs w:val="21"/>
                <w:highlight w:val="none"/>
              </w:rPr>
              <w:t>5.0</w:t>
            </w:r>
          </w:p>
        </w:tc>
        <w:tc>
          <w:tcPr>
            <w:tcW w:w="714" w:type="pct"/>
            <w:vAlign w:val="center"/>
          </w:tcPr>
          <w:p w14:paraId="4C295FA5">
            <w:pPr>
              <w:jc w:val="center"/>
              <w:rPr>
                <w:rFonts w:eastAsiaTheme="minorEastAsia"/>
                <w:color w:val="000000"/>
                <w:szCs w:val="21"/>
                <w:highlight w:val="none"/>
              </w:rPr>
            </w:pPr>
            <w:r>
              <w:rPr>
                <w:color w:val="000000"/>
                <w:szCs w:val="21"/>
                <w:highlight w:val="none"/>
              </w:rPr>
              <w:t>5.8</w:t>
            </w:r>
          </w:p>
        </w:tc>
        <w:tc>
          <w:tcPr>
            <w:tcW w:w="715" w:type="pct"/>
            <w:vAlign w:val="center"/>
          </w:tcPr>
          <w:p w14:paraId="6A4716B4">
            <w:pPr>
              <w:jc w:val="center"/>
              <w:rPr>
                <w:rFonts w:eastAsiaTheme="minorEastAsia"/>
                <w:color w:val="000000"/>
                <w:szCs w:val="21"/>
                <w:highlight w:val="none"/>
              </w:rPr>
            </w:pPr>
            <w:r>
              <w:rPr>
                <w:color w:val="000000"/>
                <w:szCs w:val="21"/>
                <w:highlight w:val="none"/>
              </w:rPr>
              <w:t>5.5</w:t>
            </w:r>
          </w:p>
        </w:tc>
        <w:tc>
          <w:tcPr>
            <w:tcW w:w="715" w:type="pct"/>
            <w:vAlign w:val="center"/>
          </w:tcPr>
          <w:p w14:paraId="443EE875">
            <w:pPr>
              <w:jc w:val="center"/>
              <w:rPr>
                <w:rFonts w:eastAsiaTheme="minorEastAsia"/>
                <w:color w:val="000000"/>
                <w:szCs w:val="21"/>
                <w:highlight w:val="none"/>
              </w:rPr>
            </w:pPr>
            <w:r>
              <w:rPr>
                <w:color w:val="000000"/>
                <w:szCs w:val="21"/>
                <w:highlight w:val="none"/>
              </w:rPr>
              <w:t>16.3</w:t>
            </w:r>
          </w:p>
        </w:tc>
        <w:tc>
          <w:tcPr>
            <w:tcW w:w="714" w:type="pct"/>
            <w:vMerge w:val="restart"/>
            <w:vAlign w:val="center"/>
          </w:tcPr>
          <w:p w14:paraId="3C68AE04">
            <w:pPr>
              <w:jc w:val="center"/>
              <w:rPr>
                <w:rFonts w:eastAsiaTheme="minorEastAsia"/>
                <w:color w:val="000000"/>
                <w:szCs w:val="21"/>
                <w:highlight w:val="none"/>
              </w:rPr>
            </w:pPr>
            <w:r>
              <w:rPr>
                <w:color w:val="000000"/>
                <w:szCs w:val="21"/>
                <w:highlight w:val="none"/>
              </w:rPr>
              <w:t>33.2</w:t>
            </w:r>
          </w:p>
        </w:tc>
      </w:tr>
      <w:tr w14:paraId="2A3E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74E7889B">
            <w:pPr>
              <w:jc w:val="center"/>
              <w:rPr>
                <w:rFonts w:eastAsiaTheme="minorEastAsia"/>
                <w:szCs w:val="21"/>
                <w:highlight w:val="none"/>
              </w:rPr>
            </w:pPr>
          </w:p>
        </w:tc>
        <w:tc>
          <w:tcPr>
            <w:tcW w:w="1326" w:type="dxa"/>
            <w:vAlign w:val="center"/>
          </w:tcPr>
          <w:p w14:paraId="7170A940">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0A1A01B3">
            <w:pPr>
              <w:jc w:val="center"/>
              <w:rPr>
                <w:rFonts w:eastAsiaTheme="minorEastAsia"/>
                <w:color w:val="000000"/>
                <w:szCs w:val="21"/>
                <w:highlight w:val="none"/>
              </w:rPr>
            </w:pPr>
            <w:r>
              <w:rPr>
                <w:color w:val="000000"/>
                <w:szCs w:val="21"/>
                <w:highlight w:val="none"/>
              </w:rPr>
              <w:t>5.9</w:t>
            </w:r>
          </w:p>
        </w:tc>
        <w:tc>
          <w:tcPr>
            <w:tcW w:w="714" w:type="pct"/>
            <w:vAlign w:val="center"/>
          </w:tcPr>
          <w:p w14:paraId="22BFF6D6">
            <w:pPr>
              <w:jc w:val="center"/>
              <w:rPr>
                <w:rFonts w:eastAsiaTheme="minorEastAsia"/>
                <w:color w:val="000000"/>
                <w:szCs w:val="21"/>
                <w:highlight w:val="none"/>
              </w:rPr>
            </w:pPr>
            <w:r>
              <w:rPr>
                <w:color w:val="000000"/>
                <w:szCs w:val="21"/>
                <w:highlight w:val="none"/>
              </w:rPr>
              <w:t>5.3</w:t>
            </w:r>
          </w:p>
        </w:tc>
        <w:tc>
          <w:tcPr>
            <w:tcW w:w="715" w:type="pct"/>
            <w:vAlign w:val="center"/>
          </w:tcPr>
          <w:p w14:paraId="396D3C2B">
            <w:pPr>
              <w:jc w:val="center"/>
              <w:rPr>
                <w:rFonts w:eastAsiaTheme="minorEastAsia"/>
                <w:color w:val="000000"/>
                <w:szCs w:val="21"/>
                <w:highlight w:val="none"/>
              </w:rPr>
            </w:pPr>
            <w:r>
              <w:rPr>
                <w:color w:val="000000"/>
                <w:szCs w:val="21"/>
                <w:highlight w:val="none"/>
              </w:rPr>
              <w:t>5.7</w:t>
            </w:r>
          </w:p>
        </w:tc>
        <w:tc>
          <w:tcPr>
            <w:tcW w:w="715" w:type="pct"/>
            <w:vAlign w:val="center"/>
          </w:tcPr>
          <w:p w14:paraId="2EAA21F4">
            <w:pPr>
              <w:jc w:val="center"/>
              <w:rPr>
                <w:rFonts w:eastAsiaTheme="minorEastAsia"/>
                <w:color w:val="000000"/>
                <w:szCs w:val="21"/>
                <w:highlight w:val="none"/>
              </w:rPr>
            </w:pPr>
            <w:r>
              <w:rPr>
                <w:color w:val="000000"/>
                <w:szCs w:val="21"/>
                <w:highlight w:val="none"/>
              </w:rPr>
              <w:t>16.9</w:t>
            </w:r>
          </w:p>
        </w:tc>
        <w:tc>
          <w:tcPr>
            <w:tcW w:w="714" w:type="pct"/>
            <w:vMerge w:val="continue"/>
            <w:vAlign w:val="center"/>
          </w:tcPr>
          <w:p w14:paraId="4FE5496F">
            <w:pPr>
              <w:jc w:val="center"/>
              <w:rPr>
                <w:rFonts w:eastAsiaTheme="minorEastAsia"/>
                <w:szCs w:val="21"/>
                <w:highlight w:val="none"/>
              </w:rPr>
            </w:pPr>
          </w:p>
        </w:tc>
      </w:tr>
      <w:tr w14:paraId="0F9B3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4DD1BD4B">
            <w:pPr>
              <w:jc w:val="center"/>
              <w:rPr>
                <w:rFonts w:hint="eastAsia" w:eastAsiaTheme="minorEastAsia"/>
                <w:szCs w:val="21"/>
                <w:highlight w:val="none"/>
                <w:lang w:eastAsia="zh-CN"/>
              </w:rPr>
            </w:pPr>
            <w:r>
              <w:rPr>
                <w:rFonts w:hint="eastAsia" w:eastAsiaTheme="minorEastAsia"/>
                <w:szCs w:val="21"/>
                <w:highlight w:val="none"/>
                <w:lang w:val="en-US" w:eastAsia="zh-CN"/>
              </w:rPr>
              <w:t>3</w:t>
            </w:r>
          </w:p>
        </w:tc>
        <w:tc>
          <w:tcPr>
            <w:tcW w:w="1326" w:type="dxa"/>
            <w:vAlign w:val="center"/>
          </w:tcPr>
          <w:p w14:paraId="0257B7B2">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7A2EEC25">
            <w:pPr>
              <w:jc w:val="center"/>
              <w:rPr>
                <w:rFonts w:eastAsiaTheme="minorEastAsia"/>
                <w:color w:val="000000"/>
                <w:szCs w:val="21"/>
                <w:highlight w:val="none"/>
              </w:rPr>
            </w:pPr>
            <w:r>
              <w:rPr>
                <w:color w:val="000000"/>
                <w:szCs w:val="21"/>
                <w:highlight w:val="none"/>
              </w:rPr>
              <w:t>4.2</w:t>
            </w:r>
          </w:p>
        </w:tc>
        <w:tc>
          <w:tcPr>
            <w:tcW w:w="714" w:type="pct"/>
            <w:vAlign w:val="center"/>
          </w:tcPr>
          <w:p w14:paraId="75264864">
            <w:pPr>
              <w:jc w:val="center"/>
              <w:rPr>
                <w:rFonts w:eastAsiaTheme="minorEastAsia"/>
                <w:color w:val="000000"/>
                <w:szCs w:val="21"/>
                <w:highlight w:val="none"/>
              </w:rPr>
            </w:pPr>
            <w:r>
              <w:rPr>
                <w:color w:val="000000"/>
                <w:szCs w:val="21"/>
                <w:highlight w:val="none"/>
              </w:rPr>
              <w:t>5.1</w:t>
            </w:r>
          </w:p>
        </w:tc>
        <w:tc>
          <w:tcPr>
            <w:tcW w:w="715" w:type="pct"/>
            <w:vAlign w:val="center"/>
          </w:tcPr>
          <w:p w14:paraId="58B42C52">
            <w:pPr>
              <w:jc w:val="center"/>
              <w:rPr>
                <w:rFonts w:eastAsiaTheme="minorEastAsia"/>
                <w:color w:val="000000"/>
                <w:szCs w:val="21"/>
                <w:highlight w:val="none"/>
              </w:rPr>
            </w:pPr>
            <w:r>
              <w:rPr>
                <w:color w:val="000000"/>
                <w:szCs w:val="21"/>
                <w:highlight w:val="none"/>
              </w:rPr>
              <w:t>5.1</w:t>
            </w:r>
          </w:p>
        </w:tc>
        <w:tc>
          <w:tcPr>
            <w:tcW w:w="715" w:type="pct"/>
            <w:vAlign w:val="center"/>
          </w:tcPr>
          <w:p w14:paraId="131539B5">
            <w:pPr>
              <w:jc w:val="center"/>
              <w:rPr>
                <w:rFonts w:eastAsiaTheme="minorEastAsia"/>
                <w:color w:val="000000"/>
                <w:szCs w:val="21"/>
                <w:highlight w:val="none"/>
              </w:rPr>
            </w:pPr>
            <w:r>
              <w:rPr>
                <w:color w:val="000000"/>
                <w:szCs w:val="21"/>
                <w:highlight w:val="none"/>
              </w:rPr>
              <w:t>14.4</w:t>
            </w:r>
          </w:p>
        </w:tc>
        <w:tc>
          <w:tcPr>
            <w:tcW w:w="714" w:type="pct"/>
            <w:vMerge w:val="restart"/>
            <w:vAlign w:val="center"/>
          </w:tcPr>
          <w:p w14:paraId="30538828">
            <w:pPr>
              <w:jc w:val="center"/>
              <w:rPr>
                <w:rFonts w:eastAsiaTheme="minorEastAsia"/>
                <w:color w:val="000000"/>
                <w:szCs w:val="21"/>
                <w:highlight w:val="none"/>
              </w:rPr>
            </w:pPr>
            <w:r>
              <w:rPr>
                <w:color w:val="000000"/>
                <w:szCs w:val="21"/>
                <w:highlight w:val="none"/>
              </w:rPr>
              <w:t>29.8</w:t>
            </w:r>
          </w:p>
        </w:tc>
      </w:tr>
      <w:tr w14:paraId="65B8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4FBCA84F">
            <w:pPr>
              <w:jc w:val="center"/>
              <w:rPr>
                <w:rFonts w:eastAsiaTheme="minorEastAsia"/>
                <w:szCs w:val="21"/>
                <w:highlight w:val="none"/>
              </w:rPr>
            </w:pPr>
          </w:p>
        </w:tc>
        <w:tc>
          <w:tcPr>
            <w:tcW w:w="1326" w:type="dxa"/>
            <w:vAlign w:val="center"/>
          </w:tcPr>
          <w:p w14:paraId="1391AC8E">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56956C7F">
            <w:pPr>
              <w:jc w:val="center"/>
              <w:rPr>
                <w:rFonts w:eastAsiaTheme="minorEastAsia"/>
                <w:color w:val="000000"/>
                <w:szCs w:val="21"/>
                <w:highlight w:val="none"/>
              </w:rPr>
            </w:pPr>
            <w:r>
              <w:rPr>
                <w:color w:val="000000"/>
                <w:szCs w:val="21"/>
                <w:highlight w:val="none"/>
              </w:rPr>
              <w:t>5.0</w:t>
            </w:r>
          </w:p>
        </w:tc>
        <w:tc>
          <w:tcPr>
            <w:tcW w:w="714" w:type="pct"/>
            <w:vAlign w:val="center"/>
          </w:tcPr>
          <w:p w14:paraId="3D7024B8">
            <w:pPr>
              <w:jc w:val="center"/>
              <w:rPr>
                <w:rFonts w:eastAsiaTheme="minorEastAsia"/>
                <w:color w:val="000000"/>
                <w:szCs w:val="21"/>
                <w:highlight w:val="none"/>
              </w:rPr>
            </w:pPr>
            <w:r>
              <w:rPr>
                <w:color w:val="000000"/>
                <w:szCs w:val="21"/>
                <w:highlight w:val="none"/>
              </w:rPr>
              <w:t>5.4</w:t>
            </w:r>
          </w:p>
        </w:tc>
        <w:tc>
          <w:tcPr>
            <w:tcW w:w="715" w:type="pct"/>
            <w:vAlign w:val="center"/>
          </w:tcPr>
          <w:p w14:paraId="123D85DB">
            <w:pPr>
              <w:jc w:val="center"/>
              <w:rPr>
                <w:rFonts w:eastAsiaTheme="minorEastAsia"/>
                <w:color w:val="000000"/>
                <w:szCs w:val="21"/>
                <w:highlight w:val="none"/>
              </w:rPr>
            </w:pPr>
            <w:r>
              <w:rPr>
                <w:color w:val="000000"/>
                <w:szCs w:val="21"/>
                <w:highlight w:val="none"/>
              </w:rPr>
              <w:t>5.0</w:t>
            </w:r>
          </w:p>
        </w:tc>
        <w:tc>
          <w:tcPr>
            <w:tcW w:w="715" w:type="pct"/>
            <w:vAlign w:val="center"/>
          </w:tcPr>
          <w:p w14:paraId="5D44E252">
            <w:pPr>
              <w:jc w:val="center"/>
              <w:rPr>
                <w:rFonts w:eastAsiaTheme="minorEastAsia"/>
                <w:color w:val="000000"/>
                <w:szCs w:val="21"/>
                <w:highlight w:val="none"/>
              </w:rPr>
            </w:pPr>
            <w:r>
              <w:rPr>
                <w:color w:val="000000"/>
                <w:szCs w:val="21"/>
                <w:highlight w:val="none"/>
              </w:rPr>
              <w:t>15.4</w:t>
            </w:r>
          </w:p>
        </w:tc>
        <w:tc>
          <w:tcPr>
            <w:tcW w:w="714" w:type="pct"/>
            <w:vMerge w:val="continue"/>
            <w:vAlign w:val="center"/>
          </w:tcPr>
          <w:p w14:paraId="36AB53BC">
            <w:pPr>
              <w:jc w:val="center"/>
              <w:rPr>
                <w:rFonts w:eastAsiaTheme="minorEastAsia"/>
                <w:szCs w:val="21"/>
                <w:highlight w:val="none"/>
              </w:rPr>
            </w:pPr>
          </w:p>
        </w:tc>
      </w:tr>
      <w:tr w14:paraId="1646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620AD307">
            <w:pPr>
              <w:jc w:val="center"/>
              <w:rPr>
                <w:rFonts w:hint="eastAsia" w:eastAsiaTheme="minorEastAsia"/>
                <w:szCs w:val="21"/>
                <w:highlight w:val="none"/>
                <w:lang w:eastAsia="zh-CN"/>
              </w:rPr>
            </w:pPr>
            <w:r>
              <w:rPr>
                <w:rFonts w:hint="eastAsia" w:eastAsiaTheme="minorEastAsia"/>
                <w:szCs w:val="21"/>
                <w:highlight w:val="none"/>
                <w:lang w:val="en-US" w:eastAsia="zh-CN"/>
              </w:rPr>
              <w:t>4</w:t>
            </w:r>
          </w:p>
        </w:tc>
        <w:tc>
          <w:tcPr>
            <w:tcW w:w="1326" w:type="dxa"/>
            <w:vAlign w:val="center"/>
          </w:tcPr>
          <w:p w14:paraId="544EA38F">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67E593FE">
            <w:pPr>
              <w:jc w:val="center"/>
              <w:rPr>
                <w:rFonts w:eastAsiaTheme="minorEastAsia"/>
                <w:color w:val="000000"/>
                <w:szCs w:val="21"/>
                <w:highlight w:val="none"/>
              </w:rPr>
            </w:pPr>
            <w:r>
              <w:rPr>
                <w:color w:val="000000"/>
                <w:szCs w:val="21"/>
                <w:highlight w:val="none"/>
              </w:rPr>
              <w:t>5.7</w:t>
            </w:r>
          </w:p>
        </w:tc>
        <w:tc>
          <w:tcPr>
            <w:tcW w:w="714" w:type="pct"/>
            <w:vAlign w:val="center"/>
          </w:tcPr>
          <w:p w14:paraId="6D6B5874">
            <w:pPr>
              <w:jc w:val="center"/>
              <w:rPr>
                <w:rFonts w:eastAsiaTheme="minorEastAsia"/>
                <w:color w:val="000000"/>
                <w:szCs w:val="21"/>
                <w:highlight w:val="none"/>
              </w:rPr>
            </w:pPr>
            <w:r>
              <w:rPr>
                <w:color w:val="000000"/>
                <w:szCs w:val="21"/>
                <w:highlight w:val="none"/>
              </w:rPr>
              <w:t>5.4</w:t>
            </w:r>
          </w:p>
        </w:tc>
        <w:tc>
          <w:tcPr>
            <w:tcW w:w="715" w:type="pct"/>
            <w:vAlign w:val="center"/>
          </w:tcPr>
          <w:p w14:paraId="4A2D4A88">
            <w:pPr>
              <w:jc w:val="center"/>
              <w:rPr>
                <w:rFonts w:eastAsiaTheme="minorEastAsia"/>
                <w:color w:val="000000"/>
                <w:szCs w:val="21"/>
                <w:highlight w:val="none"/>
              </w:rPr>
            </w:pPr>
            <w:r>
              <w:rPr>
                <w:color w:val="000000"/>
                <w:szCs w:val="21"/>
                <w:highlight w:val="none"/>
              </w:rPr>
              <w:t>5.5</w:t>
            </w:r>
          </w:p>
        </w:tc>
        <w:tc>
          <w:tcPr>
            <w:tcW w:w="715" w:type="pct"/>
            <w:vAlign w:val="center"/>
          </w:tcPr>
          <w:p w14:paraId="46912EEE">
            <w:pPr>
              <w:jc w:val="center"/>
              <w:rPr>
                <w:rFonts w:eastAsiaTheme="minorEastAsia"/>
                <w:color w:val="000000"/>
                <w:szCs w:val="21"/>
                <w:highlight w:val="none"/>
              </w:rPr>
            </w:pPr>
            <w:r>
              <w:rPr>
                <w:color w:val="000000"/>
                <w:szCs w:val="21"/>
                <w:highlight w:val="none"/>
              </w:rPr>
              <w:t>16.6</w:t>
            </w:r>
          </w:p>
        </w:tc>
        <w:tc>
          <w:tcPr>
            <w:tcW w:w="714" w:type="pct"/>
            <w:vMerge w:val="restart"/>
            <w:vAlign w:val="center"/>
          </w:tcPr>
          <w:p w14:paraId="4AC22D0A">
            <w:pPr>
              <w:jc w:val="center"/>
              <w:rPr>
                <w:rFonts w:eastAsiaTheme="minorEastAsia"/>
                <w:color w:val="000000"/>
                <w:szCs w:val="21"/>
                <w:highlight w:val="none"/>
              </w:rPr>
            </w:pPr>
            <w:r>
              <w:rPr>
                <w:color w:val="000000"/>
                <w:szCs w:val="21"/>
                <w:highlight w:val="none"/>
              </w:rPr>
              <w:t>33.2</w:t>
            </w:r>
          </w:p>
        </w:tc>
      </w:tr>
      <w:tr w14:paraId="16A92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2F22F5AF">
            <w:pPr>
              <w:jc w:val="center"/>
              <w:rPr>
                <w:rFonts w:eastAsiaTheme="minorEastAsia"/>
                <w:szCs w:val="21"/>
                <w:highlight w:val="none"/>
              </w:rPr>
            </w:pPr>
          </w:p>
        </w:tc>
        <w:tc>
          <w:tcPr>
            <w:tcW w:w="1326" w:type="dxa"/>
            <w:vAlign w:val="center"/>
          </w:tcPr>
          <w:p w14:paraId="6B381336">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6145FA3F">
            <w:pPr>
              <w:jc w:val="center"/>
              <w:rPr>
                <w:rFonts w:eastAsiaTheme="minorEastAsia"/>
                <w:color w:val="000000"/>
                <w:szCs w:val="21"/>
                <w:highlight w:val="none"/>
              </w:rPr>
            </w:pPr>
            <w:r>
              <w:rPr>
                <w:color w:val="000000"/>
                <w:szCs w:val="21"/>
                <w:highlight w:val="none"/>
              </w:rPr>
              <w:t>5.6</w:t>
            </w:r>
          </w:p>
        </w:tc>
        <w:tc>
          <w:tcPr>
            <w:tcW w:w="714" w:type="pct"/>
            <w:vAlign w:val="center"/>
          </w:tcPr>
          <w:p w14:paraId="549E37D9">
            <w:pPr>
              <w:jc w:val="center"/>
              <w:rPr>
                <w:rFonts w:eastAsiaTheme="minorEastAsia"/>
                <w:color w:val="000000"/>
                <w:szCs w:val="21"/>
                <w:highlight w:val="none"/>
              </w:rPr>
            </w:pPr>
            <w:r>
              <w:rPr>
                <w:color w:val="000000"/>
                <w:szCs w:val="21"/>
                <w:highlight w:val="none"/>
              </w:rPr>
              <w:t>5.5</w:t>
            </w:r>
          </w:p>
        </w:tc>
        <w:tc>
          <w:tcPr>
            <w:tcW w:w="715" w:type="pct"/>
            <w:vAlign w:val="center"/>
          </w:tcPr>
          <w:p w14:paraId="54D16E6D">
            <w:pPr>
              <w:jc w:val="center"/>
              <w:rPr>
                <w:rFonts w:eastAsiaTheme="minorEastAsia"/>
                <w:color w:val="000000"/>
                <w:szCs w:val="21"/>
                <w:highlight w:val="none"/>
              </w:rPr>
            </w:pPr>
            <w:r>
              <w:rPr>
                <w:color w:val="000000"/>
                <w:szCs w:val="21"/>
                <w:highlight w:val="none"/>
              </w:rPr>
              <w:t>5.5</w:t>
            </w:r>
          </w:p>
        </w:tc>
        <w:tc>
          <w:tcPr>
            <w:tcW w:w="715" w:type="pct"/>
            <w:vAlign w:val="center"/>
          </w:tcPr>
          <w:p w14:paraId="01862956">
            <w:pPr>
              <w:jc w:val="center"/>
              <w:rPr>
                <w:rFonts w:eastAsiaTheme="minorEastAsia"/>
                <w:color w:val="000000"/>
                <w:szCs w:val="21"/>
                <w:highlight w:val="none"/>
              </w:rPr>
            </w:pPr>
            <w:r>
              <w:rPr>
                <w:color w:val="000000"/>
                <w:szCs w:val="21"/>
                <w:highlight w:val="none"/>
              </w:rPr>
              <w:t>16.6</w:t>
            </w:r>
          </w:p>
        </w:tc>
        <w:tc>
          <w:tcPr>
            <w:tcW w:w="714" w:type="pct"/>
            <w:vMerge w:val="continue"/>
            <w:vAlign w:val="center"/>
          </w:tcPr>
          <w:p w14:paraId="12EC84A3">
            <w:pPr>
              <w:jc w:val="center"/>
              <w:rPr>
                <w:rFonts w:eastAsiaTheme="minorEastAsia"/>
                <w:szCs w:val="21"/>
                <w:highlight w:val="none"/>
              </w:rPr>
            </w:pPr>
          </w:p>
        </w:tc>
      </w:tr>
      <w:tr w14:paraId="65A2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71DBCCD5">
            <w:pPr>
              <w:jc w:val="center"/>
              <w:rPr>
                <w:rFonts w:hint="eastAsia" w:eastAsiaTheme="minorEastAsia"/>
                <w:szCs w:val="21"/>
                <w:highlight w:val="none"/>
                <w:lang w:eastAsia="zh-CN"/>
              </w:rPr>
            </w:pPr>
            <w:r>
              <w:rPr>
                <w:rFonts w:hint="eastAsia" w:eastAsiaTheme="minorEastAsia"/>
                <w:szCs w:val="21"/>
                <w:highlight w:val="none"/>
                <w:lang w:val="en-US" w:eastAsia="zh-CN"/>
              </w:rPr>
              <w:t>5</w:t>
            </w:r>
          </w:p>
        </w:tc>
        <w:tc>
          <w:tcPr>
            <w:tcW w:w="1326" w:type="dxa"/>
            <w:vAlign w:val="center"/>
          </w:tcPr>
          <w:p w14:paraId="184DEA79">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0028F303">
            <w:pPr>
              <w:jc w:val="center"/>
              <w:rPr>
                <w:rFonts w:eastAsiaTheme="minorEastAsia"/>
                <w:color w:val="000000"/>
                <w:szCs w:val="21"/>
                <w:highlight w:val="none"/>
              </w:rPr>
            </w:pPr>
            <w:r>
              <w:rPr>
                <w:color w:val="000000"/>
                <w:szCs w:val="21"/>
                <w:highlight w:val="none"/>
              </w:rPr>
              <w:t>5.7</w:t>
            </w:r>
          </w:p>
        </w:tc>
        <w:tc>
          <w:tcPr>
            <w:tcW w:w="714" w:type="pct"/>
            <w:vAlign w:val="center"/>
          </w:tcPr>
          <w:p w14:paraId="3DFF5F68">
            <w:pPr>
              <w:jc w:val="center"/>
              <w:rPr>
                <w:rFonts w:eastAsiaTheme="minorEastAsia"/>
                <w:color w:val="000000"/>
                <w:szCs w:val="21"/>
                <w:highlight w:val="none"/>
              </w:rPr>
            </w:pPr>
            <w:r>
              <w:rPr>
                <w:color w:val="000000"/>
                <w:szCs w:val="21"/>
                <w:highlight w:val="none"/>
              </w:rPr>
              <w:t>5.6</w:t>
            </w:r>
          </w:p>
        </w:tc>
        <w:tc>
          <w:tcPr>
            <w:tcW w:w="715" w:type="pct"/>
            <w:vAlign w:val="center"/>
          </w:tcPr>
          <w:p w14:paraId="08FBDDCC">
            <w:pPr>
              <w:jc w:val="center"/>
              <w:rPr>
                <w:rFonts w:eastAsiaTheme="minorEastAsia"/>
                <w:color w:val="000000"/>
                <w:szCs w:val="21"/>
                <w:highlight w:val="none"/>
              </w:rPr>
            </w:pPr>
            <w:r>
              <w:rPr>
                <w:color w:val="000000"/>
                <w:szCs w:val="21"/>
                <w:highlight w:val="none"/>
              </w:rPr>
              <w:t>5.6</w:t>
            </w:r>
          </w:p>
        </w:tc>
        <w:tc>
          <w:tcPr>
            <w:tcW w:w="715" w:type="pct"/>
            <w:vAlign w:val="center"/>
          </w:tcPr>
          <w:p w14:paraId="417881C6">
            <w:pPr>
              <w:jc w:val="center"/>
              <w:rPr>
                <w:rFonts w:eastAsiaTheme="minorEastAsia"/>
                <w:color w:val="000000"/>
                <w:szCs w:val="21"/>
                <w:highlight w:val="none"/>
              </w:rPr>
            </w:pPr>
            <w:r>
              <w:rPr>
                <w:color w:val="000000"/>
                <w:szCs w:val="21"/>
                <w:highlight w:val="none"/>
              </w:rPr>
              <w:t>16.9</w:t>
            </w:r>
          </w:p>
        </w:tc>
        <w:tc>
          <w:tcPr>
            <w:tcW w:w="714" w:type="pct"/>
            <w:vMerge w:val="restart"/>
            <w:vAlign w:val="center"/>
          </w:tcPr>
          <w:p w14:paraId="47175847">
            <w:pPr>
              <w:jc w:val="center"/>
              <w:rPr>
                <w:rFonts w:eastAsiaTheme="minorEastAsia"/>
                <w:color w:val="000000"/>
                <w:szCs w:val="21"/>
                <w:highlight w:val="none"/>
              </w:rPr>
            </w:pPr>
            <w:r>
              <w:rPr>
                <w:color w:val="000000"/>
                <w:szCs w:val="21"/>
                <w:highlight w:val="none"/>
              </w:rPr>
              <w:t>33.2</w:t>
            </w:r>
          </w:p>
        </w:tc>
      </w:tr>
      <w:tr w14:paraId="5A31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2695A1DC">
            <w:pPr>
              <w:jc w:val="center"/>
              <w:rPr>
                <w:rFonts w:eastAsiaTheme="minorEastAsia"/>
                <w:szCs w:val="21"/>
                <w:highlight w:val="none"/>
              </w:rPr>
            </w:pPr>
          </w:p>
        </w:tc>
        <w:tc>
          <w:tcPr>
            <w:tcW w:w="1326" w:type="dxa"/>
            <w:vAlign w:val="center"/>
          </w:tcPr>
          <w:p w14:paraId="556F350F">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26536CDF">
            <w:pPr>
              <w:jc w:val="center"/>
              <w:rPr>
                <w:rFonts w:eastAsiaTheme="minorEastAsia"/>
                <w:color w:val="000000"/>
                <w:szCs w:val="21"/>
                <w:highlight w:val="none"/>
              </w:rPr>
            </w:pPr>
            <w:r>
              <w:rPr>
                <w:color w:val="000000"/>
                <w:szCs w:val="21"/>
                <w:highlight w:val="none"/>
              </w:rPr>
              <w:t>5.4</w:t>
            </w:r>
          </w:p>
        </w:tc>
        <w:tc>
          <w:tcPr>
            <w:tcW w:w="714" w:type="pct"/>
            <w:vAlign w:val="center"/>
          </w:tcPr>
          <w:p w14:paraId="69847A7B">
            <w:pPr>
              <w:jc w:val="center"/>
              <w:rPr>
                <w:rFonts w:eastAsiaTheme="minorEastAsia"/>
                <w:color w:val="000000"/>
                <w:szCs w:val="21"/>
                <w:highlight w:val="none"/>
              </w:rPr>
            </w:pPr>
            <w:r>
              <w:rPr>
                <w:color w:val="000000"/>
                <w:szCs w:val="21"/>
                <w:highlight w:val="none"/>
              </w:rPr>
              <w:t>5.3</w:t>
            </w:r>
          </w:p>
        </w:tc>
        <w:tc>
          <w:tcPr>
            <w:tcW w:w="715" w:type="pct"/>
            <w:vAlign w:val="center"/>
          </w:tcPr>
          <w:p w14:paraId="1A5BA7DD">
            <w:pPr>
              <w:jc w:val="center"/>
              <w:rPr>
                <w:rFonts w:eastAsiaTheme="minorEastAsia"/>
                <w:color w:val="000000"/>
                <w:szCs w:val="21"/>
                <w:highlight w:val="none"/>
              </w:rPr>
            </w:pPr>
            <w:r>
              <w:rPr>
                <w:color w:val="000000"/>
                <w:szCs w:val="21"/>
                <w:highlight w:val="none"/>
              </w:rPr>
              <w:t>5.6</w:t>
            </w:r>
          </w:p>
        </w:tc>
        <w:tc>
          <w:tcPr>
            <w:tcW w:w="715" w:type="pct"/>
            <w:vAlign w:val="center"/>
          </w:tcPr>
          <w:p w14:paraId="49438155">
            <w:pPr>
              <w:jc w:val="center"/>
              <w:rPr>
                <w:rFonts w:eastAsiaTheme="minorEastAsia"/>
                <w:color w:val="000000"/>
                <w:szCs w:val="21"/>
                <w:highlight w:val="none"/>
              </w:rPr>
            </w:pPr>
            <w:r>
              <w:rPr>
                <w:color w:val="000000"/>
                <w:szCs w:val="21"/>
                <w:highlight w:val="none"/>
              </w:rPr>
              <w:t>16.3</w:t>
            </w:r>
          </w:p>
        </w:tc>
        <w:tc>
          <w:tcPr>
            <w:tcW w:w="714" w:type="pct"/>
            <w:vMerge w:val="continue"/>
            <w:vAlign w:val="center"/>
          </w:tcPr>
          <w:p w14:paraId="3DC56EA0">
            <w:pPr>
              <w:jc w:val="center"/>
              <w:rPr>
                <w:rFonts w:eastAsiaTheme="minorEastAsia"/>
                <w:szCs w:val="21"/>
                <w:highlight w:val="none"/>
              </w:rPr>
            </w:pPr>
          </w:p>
        </w:tc>
      </w:tr>
      <w:tr w14:paraId="4F639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3FDF1FC7">
            <w:pPr>
              <w:jc w:val="center"/>
              <w:rPr>
                <w:rFonts w:hint="eastAsia" w:eastAsiaTheme="minorEastAsia"/>
                <w:szCs w:val="21"/>
                <w:highlight w:val="none"/>
                <w:lang w:eastAsia="zh-CN"/>
              </w:rPr>
            </w:pPr>
            <w:r>
              <w:rPr>
                <w:rFonts w:hint="eastAsia" w:eastAsiaTheme="minorEastAsia"/>
                <w:szCs w:val="21"/>
                <w:highlight w:val="none"/>
                <w:lang w:val="en-US" w:eastAsia="zh-CN"/>
              </w:rPr>
              <w:t>7</w:t>
            </w:r>
          </w:p>
        </w:tc>
        <w:tc>
          <w:tcPr>
            <w:tcW w:w="1326" w:type="dxa"/>
            <w:vAlign w:val="center"/>
          </w:tcPr>
          <w:p w14:paraId="6DD2F067">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505D9AD3">
            <w:pPr>
              <w:jc w:val="center"/>
              <w:rPr>
                <w:rFonts w:eastAsiaTheme="minorEastAsia"/>
                <w:color w:val="000000"/>
                <w:szCs w:val="21"/>
                <w:highlight w:val="none"/>
              </w:rPr>
            </w:pPr>
            <w:r>
              <w:rPr>
                <w:color w:val="000000"/>
                <w:szCs w:val="21"/>
                <w:highlight w:val="none"/>
              </w:rPr>
              <w:t>6.4</w:t>
            </w:r>
          </w:p>
        </w:tc>
        <w:tc>
          <w:tcPr>
            <w:tcW w:w="714" w:type="pct"/>
            <w:vAlign w:val="center"/>
          </w:tcPr>
          <w:p w14:paraId="320970C9">
            <w:pPr>
              <w:jc w:val="center"/>
              <w:rPr>
                <w:rFonts w:eastAsiaTheme="minorEastAsia"/>
                <w:color w:val="000000"/>
                <w:szCs w:val="21"/>
                <w:highlight w:val="none"/>
              </w:rPr>
            </w:pPr>
            <w:r>
              <w:rPr>
                <w:color w:val="000000"/>
                <w:szCs w:val="21"/>
                <w:highlight w:val="none"/>
              </w:rPr>
              <w:t>5.8</w:t>
            </w:r>
          </w:p>
        </w:tc>
        <w:tc>
          <w:tcPr>
            <w:tcW w:w="715" w:type="pct"/>
            <w:vAlign w:val="center"/>
          </w:tcPr>
          <w:p w14:paraId="2F38AA95">
            <w:pPr>
              <w:jc w:val="center"/>
              <w:rPr>
                <w:rFonts w:eastAsiaTheme="minorEastAsia"/>
                <w:color w:val="000000"/>
                <w:szCs w:val="21"/>
                <w:highlight w:val="none"/>
              </w:rPr>
            </w:pPr>
            <w:r>
              <w:rPr>
                <w:color w:val="000000"/>
                <w:szCs w:val="21"/>
                <w:highlight w:val="none"/>
              </w:rPr>
              <w:t>5.5</w:t>
            </w:r>
          </w:p>
        </w:tc>
        <w:tc>
          <w:tcPr>
            <w:tcW w:w="715" w:type="pct"/>
            <w:vAlign w:val="center"/>
          </w:tcPr>
          <w:p w14:paraId="2BF4EE9F">
            <w:pPr>
              <w:jc w:val="center"/>
              <w:rPr>
                <w:rFonts w:eastAsiaTheme="minorEastAsia"/>
                <w:color w:val="000000"/>
                <w:szCs w:val="21"/>
                <w:highlight w:val="none"/>
              </w:rPr>
            </w:pPr>
            <w:r>
              <w:rPr>
                <w:color w:val="000000"/>
                <w:szCs w:val="21"/>
                <w:highlight w:val="none"/>
              </w:rPr>
              <w:t>17.7</w:t>
            </w:r>
          </w:p>
        </w:tc>
        <w:tc>
          <w:tcPr>
            <w:tcW w:w="714" w:type="pct"/>
            <w:vMerge w:val="restart"/>
            <w:vAlign w:val="center"/>
          </w:tcPr>
          <w:p w14:paraId="6E731117">
            <w:pPr>
              <w:jc w:val="center"/>
              <w:rPr>
                <w:rFonts w:eastAsiaTheme="minorEastAsia"/>
                <w:szCs w:val="21"/>
                <w:highlight w:val="none"/>
              </w:rPr>
            </w:pPr>
            <w:r>
              <w:rPr>
                <w:color w:val="000000"/>
                <w:szCs w:val="21"/>
                <w:highlight w:val="none"/>
              </w:rPr>
              <w:t>35.9</w:t>
            </w:r>
          </w:p>
        </w:tc>
      </w:tr>
      <w:tr w14:paraId="30958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3B7A07DF">
            <w:pPr>
              <w:jc w:val="center"/>
              <w:rPr>
                <w:rFonts w:eastAsiaTheme="minorEastAsia"/>
                <w:szCs w:val="21"/>
                <w:highlight w:val="none"/>
              </w:rPr>
            </w:pPr>
          </w:p>
        </w:tc>
        <w:tc>
          <w:tcPr>
            <w:tcW w:w="1326" w:type="dxa"/>
            <w:vAlign w:val="center"/>
          </w:tcPr>
          <w:p w14:paraId="538CBB65">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58FDF32C">
            <w:pPr>
              <w:jc w:val="center"/>
              <w:rPr>
                <w:rFonts w:eastAsiaTheme="minorEastAsia"/>
                <w:color w:val="000000"/>
                <w:szCs w:val="21"/>
                <w:highlight w:val="none"/>
              </w:rPr>
            </w:pPr>
            <w:r>
              <w:rPr>
                <w:color w:val="000000"/>
                <w:szCs w:val="21"/>
                <w:highlight w:val="none"/>
              </w:rPr>
              <w:t>6.4</w:t>
            </w:r>
          </w:p>
        </w:tc>
        <w:tc>
          <w:tcPr>
            <w:tcW w:w="714" w:type="pct"/>
            <w:vAlign w:val="center"/>
          </w:tcPr>
          <w:p w14:paraId="2166C4E4">
            <w:pPr>
              <w:jc w:val="center"/>
              <w:rPr>
                <w:rFonts w:eastAsiaTheme="minorEastAsia"/>
                <w:color w:val="000000"/>
                <w:szCs w:val="21"/>
                <w:highlight w:val="none"/>
              </w:rPr>
            </w:pPr>
            <w:r>
              <w:rPr>
                <w:color w:val="000000"/>
                <w:szCs w:val="21"/>
                <w:highlight w:val="none"/>
              </w:rPr>
              <w:t>5.0</w:t>
            </w:r>
          </w:p>
        </w:tc>
        <w:tc>
          <w:tcPr>
            <w:tcW w:w="715" w:type="pct"/>
            <w:vAlign w:val="center"/>
          </w:tcPr>
          <w:p w14:paraId="7E9C1380">
            <w:pPr>
              <w:jc w:val="center"/>
              <w:rPr>
                <w:rFonts w:eastAsiaTheme="minorEastAsia"/>
                <w:color w:val="000000"/>
                <w:szCs w:val="21"/>
                <w:highlight w:val="none"/>
              </w:rPr>
            </w:pPr>
            <w:r>
              <w:rPr>
                <w:color w:val="000000"/>
                <w:szCs w:val="21"/>
                <w:highlight w:val="none"/>
              </w:rPr>
              <w:t>6.8</w:t>
            </w:r>
          </w:p>
        </w:tc>
        <w:tc>
          <w:tcPr>
            <w:tcW w:w="715" w:type="pct"/>
            <w:vAlign w:val="center"/>
          </w:tcPr>
          <w:p w14:paraId="44A509F0">
            <w:pPr>
              <w:jc w:val="center"/>
              <w:rPr>
                <w:rFonts w:eastAsiaTheme="minorEastAsia"/>
                <w:color w:val="000000"/>
                <w:szCs w:val="21"/>
                <w:highlight w:val="none"/>
              </w:rPr>
            </w:pPr>
            <w:r>
              <w:rPr>
                <w:color w:val="000000"/>
                <w:szCs w:val="21"/>
                <w:highlight w:val="none"/>
              </w:rPr>
              <w:t>18.2</w:t>
            </w:r>
          </w:p>
        </w:tc>
        <w:tc>
          <w:tcPr>
            <w:tcW w:w="714" w:type="pct"/>
            <w:vMerge w:val="continue"/>
            <w:vAlign w:val="center"/>
          </w:tcPr>
          <w:p w14:paraId="0A7B205F">
            <w:pPr>
              <w:jc w:val="center"/>
              <w:rPr>
                <w:rFonts w:eastAsiaTheme="minorEastAsia"/>
                <w:szCs w:val="21"/>
                <w:highlight w:val="none"/>
              </w:rPr>
            </w:pPr>
          </w:p>
        </w:tc>
      </w:tr>
    </w:tbl>
    <w:p w14:paraId="78D13618">
      <w:pPr>
        <w:widowControl/>
        <w:snapToGrid w:val="0"/>
        <w:spacing w:line="300" w:lineRule="auto"/>
        <w:ind w:firstLine="442"/>
        <w:rPr>
          <w:sz w:val="24"/>
          <w:highlight w:val="none"/>
        </w:rPr>
      </w:pPr>
    </w:p>
    <w:p w14:paraId="262ADBCE">
      <w:pPr>
        <w:widowControl/>
        <w:snapToGrid w:val="0"/>
        <w:spacing w:line="300" w:lineRule="auto"/>
        <w:ind w:firstLine="442"/>
        <w:rPr>
          <w:sz w:val="24"/>
          <w:highlight w:val="none"/>
        </w:rPr>
      </w:pPr>
      <w:r>
        <w:rPr>
          <w:sz w:val="24"/>
          <w:highlight w:val="none"/>
        </w:rPr>
        <w:t>将表</w:t>
      </w:r>
      <w:r>
        <w:rPr>
          <w:rFonts w:hint="eastAsia"/>
          <w:sz w:val="24"/>
          <w:highlight w:val="none"/>
        </w:rPr>
        <w:t>9</w:t>
      </w:r>
      <w:r>
        <w:rPr>
          <w:sz w:val="24"/>
          <w:highlight w:val="none"/>
        </w:rPr>
        <w:t>中的数值应用于下列公式以产生ANOVA表。</w:t>
      </w:r>
    </w:p>
    <w:p w14:paraId="7DF476A5">
      <w:pPr>
        <w:widowControl/>
        <w:snapToGrid w:val="0"/>
        <w:spacing w:line="300" w:lineRule="auto"/>
        <w:ind w:firstLine="442"/>
        <w:rPr>
          <w:sz w:val="24"/>
          <w:highlight w:val="none"/>
        </w:rPr>
      </w:pPr>
    </w:p>
    <w:p w14:paraId="4336F9B5">
      <w:pPr>
        <w:widowControl/>
        <w:snapToGrid w:val="0"/>
        <w:spacing w:line="264" w:lineRule="auto"/>
        <w:ind w:firstLine="440"/>
        <w:jc w:val="center"/>
        <w:rPr>
          <w:sz w:val="22"/>
          <w:highlight w:val="none"/>
        </w:rPr>
      </w:pPr>
      <m:oMath>
        <m:r>
          <m:rPr/>
          <w:rPr>
            <w:rFonts w:ascii="Cambria Math" w:hAnsi="Cambria Math"/>
            <w:sz w:val="22"/>
            <w:highlight w:val="none"/>
          </w:rPr>
          <m:t>T=</m:t>
        </m:r>
        <m:nary>
          <m:naryPr>
            <m:chr m:val="∑"/>
            <m:limLoc m:val="undOvr"/>
            <m:supHide m:val="1"/>
            <m:ctrlPr>
              <w:rPr>
                <w:rFonts w:ascii="Cambria Math" w:hAnsi="Cambria Math"/>
                <w:i/>
                <w:sz w:val="22"/>
                <w:highlight w:val="none"/>
              </w:rPr>
            </m:ctrlPr>
          </m:naryPr>
          <m:sub>
            <m:r>
              <m:rPr/>
              <w:rPr>
                <w:rFonts w:ascii="Cambria Math" w:hAnsi="Cambria Math"/>
                <w:sz w:val="22"/>
                <w:highlight w:val="none"/>
              </w:rPr>
              <m:t>i</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j</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k</m:t>
                    </m:r>
                    <m:ctrlPr>
                      <w:rPr>
                        <w:rFonts w:ascii="Cambria Math" w:hAnsi="Cambria Math"/>
                        <w:i/>
                        <w:sz w:val="22"/>
                        <w:highlight w:val="none"/>
                      </w:rPr>
                    </m:ctrlPr>
                  </m:sub>
                  <m:sup>
                    <m:ctrlPr>
                      <w:rPr>
                        <w:rFonts w:ascii="Cambria Math" w:hAnsi="Cambria Math"/>
                        <w:i/>
                        <w:sz w:val="22"/>
                        <w:highlight w:val="none"/>
                      </w:rPr>
                    </m:ctrlPr>
                  </m:sup>
                  <m:e>
                    <m:sSub>
                      <m:sSubPr>
                        <m:ctrlPr>
                          <w:rPr>
                            <w:rFonts w:ascii="Cambria Math" w:hAnsi="Cambria Math"/>
                            <w:i/>
                            <w:sz w:val="22"/>
                            <w:highlight w:val="none"/>
                          </w:rPr>
                        </m:ctrlPr>
                      </m:sSubPr>
                      <m:e>
                        <m:r>
                          <m:rPr/>
                          <w:rPr>
                            <w:rFonts w:ascii="Cambria Math" w:hAnsi="Cambria Math"/>
                            <w:sz w:val="22"/>
                            <w:highlight w:val="none"/>
                          </w:rPr>
                          <m:t>y</m:t>
                        </m:r>
                        <m:ctrlPr>
                          <w:rPr>
                            <w:rFonts w:ascii="Cambria Math" w:hAnsi="Cambria Math"/>
                            <w:i/>
                            <w:sz w:val="22"/>
                            <w:highlight w:val="none"/>
                          </w:rPr>
                        </m:ctrlPr>
                      </m:e>
                      <m:sub>
                        <m:r>
                          <m:rPr/>
                          <w:rPr>
                            <w:rFonts w:ascii="Cambria Math" w:hAnsi="Cambria Math"/>
                            <w:sz w:val="22"/>
                            <w:highlight w:val="none"/>
                          </w:rPr>
                          <m:t>ijk</m:t>
                        </m:r>
                        <m:ctrlPr>
                          <w:rPr>
                            <w:rFonts w:ascii="Cambria Math" w:hAnsi="Cambria Math"/>
                            <w:i/>
                            <w:sz w:val="22"/>
                            <w:highlight w:val="none"/>
                          </w:rPr>
                        </m:ctrlPr>
                      </m:sub>
                    </m:sSub>
                    <m:ctrlPr>
                      <w:rPr>
                        <w:rFonts w:ascii="Cambria Math" w:hAnsi="Cambria Math"/>
                        <w:i/>
                        <w:sz w:val="22"/>
                        <w:highlight w:val="none"/>
                      </w:rPr>
                    </m:ctrlPr>
                  </m:e>
                </m:nary>
                <m:ctrlPr>
                  <w:rPr>
                    <w:rFonts w:ascii="Cambria Math" w:hAnsi="Cambria Math"/>
                    <w:i/>
                    <w:sz w:val="22"/>
                    <w:highlight w:val="none"/>
                  </w:rPr>
                </m:ctrlPr>
              </m:e>
            </m:nary>
            <m:ctrlPr>
              <w:rPr>
                <w:rFonts w:ascii="Cambria Math" w:hAnsi="Cambria Math"/>
                <w:i/>
                <w:sz w:val="22"/>
                <w:highlight w:val="none"/>
              </w:rPr>
            </m:ctrlPr>
          </m:e>
        </m:nary>
      </m:oMath>
      <w:r>
        <w:rPr>
          <w:sz w:val="22"/>
          <w:highlight w:val="none"/>
        </w:rPr>
        <w:t>= 202.30</w:t>
      </w:r>
    </w:p>
    <w:p w14:paraId="61AE05F5">
      <w:pPr>
        <w:widowControl/>
        <w:snapToGrid w:val="0"/>
        <w:spacing w:line="264" w:lineRule="auto"/>
        <w:ind w:firstLine="440"/>
        <w:jc w:val="center"/>
        <w:rPr>
          <w:sz w:val="22"/>
          <w:highlight w:val="none"/>
        </w:rPr>
      </w:pPr>
    </w:p>
    <w:p w14:paraId="06629A65">
      <w:pPr>
        <w:widowControl/>
        <w:snapToGrid w:val="0"/>
        <w:spacing w:line="264" w:lineRule="auto"/>
        <w:ind w:firstLine="440"/>
        <w:jc w:val="center"/>
        <w:rPr>
          <w:sz w:val="22"/>
          <w:highlight w:val="none"/>
        </w:rPr>
      </w:pPr>
      <m:oMathPara>
        <m:oMath>
          <m:sSub>
            <m:sSubPr>
              <m:ctrlPr>
                <w:rPr>
                  <w:rFonts w:ascii="Cambria Math" w:hAnsi="Cambria Math"/>
                  <w:i/>
                  <w:sz w:val="22"/>
                  <w:highlight w:val="none"/>
                </w:rPr>
              </m:ctrlPr>
            </m:sSubPr>
            <m:e>
              <m:r>
                <m:rPr/>
                <w:rPr>
                  <w:rFonts w:ascii="Cambria Math" w:hAnsi="Cambria Math"/>
                  <w:sz w:val="22"/>
                  <w:highlight w:val="none"/>
                </w:rPr>
                <m:t>S</m:t>
              </m:r>
              <m:ctrlPr>
                <w:rPr>
                  <w:rFonts w:ascii="Cambria Math" w:hAnsi="Cambria Math"/>
                  <w:i/>
                  <w:sz w:val="22"/>
                  <w:highlight w:val="none"/>
                </w:rPr>
              </m:ctrlPr>
            </m:e>
            <m:sub>
              <m:r>
                <m:rPr>
                  <m:sty m:val="p"/>
                </m:rPr>
                <w:rPr>
                  <w:rFonts w:ascii="Cambria Math" w:hAnsi="Cambria Math"/>
                  <w:sz w:val="22"/>
                  <w:highlight w:val="none"/>
                </w:rPr>
                <m:t>T</m:t>
              </m:r>
              <m:ctrlPr>
                <w:rPr>
                  <w:rFonts w:ascii="Cambria Math" w:hAnsi="Cambria Math"/>
                  <w:i/>
                  <w:sz w:val="22"/>
                  <w:highlight w:val="none"/>
                </w:rPr>
              </m:ctrlPr>
            </m:sub>
          </m:sSub>
          <m:r>
            <m:rPr/>
            <w:rPr>
              <w:rFonts w:ascii="Cambria Math" w:hAnsi="Cambria Math"/>
              <w:sz w:val="22"/>
              <w:highlight w:val="none"/>
            </w:rPr>
            <m:t>=</m:t>
          </m:r>
          <m:nary>
            <m:naryPr>
              <m:chr m:val="∑"/>
              <m:limLoc m:val="undOvr"/>
              <m:supHide m:val="1"/>
              <m:ctrlPr>
                <w:rPr>
                  <w:rFonts w:ascii="Cambria Math" w:hAnsi="Cambria Math"/>
                  <w:i/>
                  <w:sz w:val="22"/>
                  <w:highlight w:val="none"/>
                </w:rPr>
              </m:ctrlPr>
            </m:naryPr>
            <m:sub>
              <m:r>
                <m:rPr/>
                <w:rPr>
                  <w:rFonts w:ascii="Cambria Math" w:hAnsi="Cambria Math"/>
                  <w:sz w:val="22"/>
                  <w:highlight w:val="none"/>
                </w:rPr>
                <m:t>i</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j</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k</m:t>
                      </m:r>
                      <m:ctrlPr>
                        <w:rPr>
                          <w:rFonts w:ascii="Cambria Math" w:hAnsi="Cambria Math"/>
                          <w:i/>
                          <w:sz w:val="22"/>
                          <w:highlight w:val="none"/>
                        </w:rPr>
                      </m:ctrlPr>
                    </m:sub>
                    <m:sup>
                      <m:ctrlPr>
                        <w:rPr>
                          <w:rFonts w:ascii="Cambria Math" w:hAnsi="Cambria Math"/>
                          <w:i/>
                          <w:sz w:val="22"/>
                          <w:highlight w:val="none"/>
                        </w:rPr>
                      </m:ctrlPr>
                    </m:sup>
                    <m:e>
                      <m:sSup>
                        <m:sSupPr>
                          <m:ctrlPr>
                            <w:rPr>
                              <w:rFonts w:ascii="Cambria Math" w:hAnsi="Cambria Math"/>
                              <w:i/>
                              <w:sz w:val="22"/>
                              <w:highlight w:val="none"/>
                            </w:rPr>
                          </m:ctrlPr>
                        </m:sSupPr>
                        <m:e>
                          <m:sSub>
                            <m:sSubPr>
                              <m:ctrlPr>
                                <w:rPr>
                                  <w:rFonts w:ascii="Cambria Math" w:hAnsi="Cambria Math"/>
                                  <w:i/>
                                  <w:sz w:val="22"/>
                                  <w:highlight w:val="none"/>
                                </w:rPr>
                              </m:ctrlPr>
                            </m:sSubPr>
                            <m:e>
                              <m:r>
                                <m:rPr/>
                                <w:rPr>
                                  <w:rFonts w:ascii="Cambria Math" w:hAnsi="Cambria Math"/>
                                  <w:sz w:val="22"/>
                                  <w:highlight w:val="none"/>
                                </w:rPr>
                                <m:t>y</m:t>
                              </m:r>
                              <m:ctrlPr>
                                <w:rPr>
                                  <w:rFonts w:ascii="Cambria Math" w:hAnsi="Cambria Math"/>
                                  <w:i/>
                                  <w:sz w:val="22"/>
                                  <w:highlight w:val="none"/>
                                </w:rPr>
                              </m:ctrlPr>
                            </m:e>
                            <m:sub>
                              <m:r>
                                <m:rPr/>
                                <w:rPr>
                                  <w:rFonts w:ascii="Cambria Math" w:hAnsi="Cambria Math"/>
                                  <w:sz w:val="22"/>
                                  <w:highlight w:val="none"/>
                                </w:rPr>
                                <m:t>ijk</m:t>
                              </m:r>
                              <m:ctrlPr>
                                <w:rPr>
                                  <w:rFonts w:ascii="Cambria Math" w:hAnsi="Cambria Math"/>
                                  <w:i/>
                                  <w:sz w:val="22"/>
                                  <w:highlight w:val="none"/>
                                </w:rPr>
                              </m:ctrlPr>
                            </m:sub>
                          </m:sSub>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r>
                        <m:rPr/>
                        <w:rPr>
                          <w:rFonts w:ascii="Cambria Math" w:hAnsi="Cambria Math"/>
                          <w:sz w:val="22"/>
                          <w:highlight w:val="none"/>
                        </w:rPr>
                        <m:t>−</m:t>
                      </m:r>
                      <m:f>
                        <m:fPr>
                          <m:ctrlPr>
                            <w:rPr>
                              <w:rFonts w:ascii="Cambria Math" w:hAnsi="Cambria Math"/>
                              <w:i/>
                              <w:sz w:val="22"/>
                              <w:highlight w:val="none"/>
                            </w:rPr>
                          </m:ctrlPr>
                        </m:fPr>
                        <m:num>
                          <m:sSup>
                            <m:sSupPr>
                              <m:ctrlPr>
                                <w:rPr>
                                  <w:rFonts w:ascii="Cambria Math" w:hAnsi="Cambria Math"/>
                                  <w:i/>
                                  <w:sz w:val="22"/>
                                  <w:highlight w:val="none"/>
                                </w:rPr>
                              </m:ctrlPr>
                            </m:sSupPr>
                            <m:e>
                              <m:r>
                                <m:rPr/>
                                <w:rPr>
                                  <w:rFonts w:ascii="Cambria Math" w:hAnsi="Cambria Math"/>
                                  <w:sz w:val="22"/>
                                  <w:highlight w:val="none"/>
                                </w:rPr>
                                <m:t>T</m:t>
                              </m:r>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num>
                        <m:den>
                          <m:r>
                            <m:rPr/>
                            <w:rPr>
                              <w:rFonts w:ascii="Cambria Math" w:hAnsi="Cambria Math"/>
                              <w:sz w:val="22"/>
                              <w:highlight w:val="none"/>
                            </w:rPr>
                            <m:t>pqn</m:t>
                          </m:r>
                          <m:ctrlPr>
                            <w:rPr>
                              <w:rFonts w:ascii="Cambria Math" w:hAnsi="Cambria Math"/>
                              <w:i/>
                              <w:sz w:val="22"/>
                              <w:highlight w:val="none"/>
                            </w:rPr>
                          </m:ctrlPr>
                        </m:den>
                      </m:f>
                      <m:r>
                        <m:rPr/>
                        <w:rPr>
                          <w:rFonts w:ascii="Cambria Math" w:hAnsi="Cambria Math"/>
                          <w:sz w:val="22"/>
                          <w:highlight w:val="none"/>
                        </w:rPr>
                        <m:t>=1146.31−</m:t>
                      </m:r>
                      <m:f>
                        <m:fPr>
                          <m:ctrlPr>
                            <w:rPr>
                              <w:rFonts w:ascii="Cambria Math" w:hAnsi="Cambria Math"/>
                              <w:i/>
                              <w:sz w:val="22"/>
                              <w:highlight w:val="none"/>
                            </w:rPr>
                          </m:ctrlPr>
                        </m:fPr>
                        <m:num>
                          <m:sSup>
                            <m:sSupPr>
                              <m:ctrlPr>
                                <w:rPr>
                                  <w:rFonts w:ascii="Cambria Math" w:hAnsi="Cambria Math"/>
                                  <w:sz w:val="22"/>
                                  <w:highlight w:val="none"/>
                                </w:rPr>
                              </m:ctrlPr>
                            </m:sSupPr>
                            <m:e>
                              <m:r>
                                <m:rPr>
                                  <m:sty m:val="p"/>
                                </m:rPr>
                                <w:rPr>
                                  <w:rFonts w:ascii="Cambria Math" w:hAnsi="Cambria Math"/>
                                  <w:sz w:val="22"/>
                                  <w:highlight w:val="none"/>
                                </w:rPr>
                                <m:t>202.30</m:t>
                              </m:r>
                              <m:ctrlPr>
                                <w:rPr>
                                  <w:rFonts w:ascii="Cambria Math" w:hAnsi="Cambria Math"/>
                                  <w:sz w:val="22"/>
                                  <w:highlight w:val="none"/>
                                </w:rPr>
                              </m:ctrlPr>
                            </m:e>
                            <m:sup>
                              <m:r>
                                <m:rPr>
                                  <m:sty m:val="p"/>
                                </m:rPr>
                                <w:rPr>
                                  <w:rFonts w:ascii="Cambria Math" w:hAnsi="Cambria Math"/>
                                  <w:sz w:val="22"/>
                                  <w:highlight w:val="none"/>
                                </w:rPr>
                                <m:t>2</m:t>
                              </m:r>
                              <m:ctrlPr>
                                <w:rPr>
                                  <w:rFonts w:ascii="Cambria Math" w:hAnsi="Cambria Math"/>
                                  <w:sz w:val="22"/>
                                  <w:highlight w:val="none"/>
                                </w:rPr>
                              </m:ctrlPr>
                            </m:sup>
                          </m:sSup>
                          <m:ctrlPr>
                            <w:rPr>
                              <w:rFonts w:ascii="Cambria Math" w:hAnsi="Cambria Math"/>
                              <w:i/>
                              <w:sz w:val="22"/>
                              <w:highlight w:val="none"/>
                            </w:rPr>
                          </m:ctrlPr>
                        </m:num>
                        <m:den>
                          <m:r>
                            <m:rPr/>
                            <w:rPr>
                              <w:rFonts w:ascii="Cambria Math" w:hAnsi="Cambria Math"/>
                              <w:sz w:val="22"/>
                              <w:highlight w:val="none"/>
                            </w:rPr>
                            <m:t>6×2×3</m:t>
                          </m:r>
                          <m:ctrlPr>
                            <w:rPr>
                              <w:rFonts w:ascii="Cambria Math" w:hAnsi="Cambria Math"/>
                              <w:i/>
                              <w:sz w:val="22"/>
                              <w:highlight w:val="none"/>
                            </w:rPr>
                          </m:ctrlPr>
                        </m:den>
                      </m:f>
                      <m:ctrlPr>
                        <w:rPr>
                          <w:rFonts w:ascii="Cambria Math" w:hAnsi="Cambria Math"/>
                          <w:i/>
                          <w:sz w:val="22"/>
                          <w:highlight w:val="none"/>
                        </w:rPr>
                      </m:ctrlPr>
                    </m:e>
                  </m:nary>
                  <m:ctrlPr>
                    <w:rPr>
                      <w:rFonts w:ascii="Cambria Math" w:hAnsi="Cambria Math"/>
                      <w:i/>
                      <w:sz w:val="22"/>
                      <w:highlight w:val="none"/>
                    </w:rPr>
                  </m:ctrlPr>
                </m:e>
              </m:nary>
              <m:ctrlPr>
                <w:rPr>
                  <w:rFonts w:ascii="Cambria Math" w:hAnsi="Cambria Math"/>
                  <w:i/>
                  <w:sz w:val="22"/>
                  <w:highlight w:val="none"/>
                </w:rPr>
              </m:ctrlPr>
            </m:e>
          </m:nary>
          <m:r>
            <m:rPr/>
            <w:rPr>
              <w:rFonts w:ascii="Cambria Math" w:hAnsi="Cambria Math"/>
              <w:sz w:val="22"/>
              <w:highlight w:val="none"/>
            </w:rPr>
            <m:t>=9.50</m:t>
          </m:r>
        </m:oMath>
      </m:oMathPara>
    </w:p>
    <w:p w14:paraId="30114999">
      <w:pPr>
        <w:widowControl/>
        <w:snapToGrid w:val="0"/>
        <w:spacing w:line="264" w:lineRule="auto"/>
        <w:ind w:firstLine="440"/>
        <w:jc w:val="center"/>
        <w:rPr>
          <w:sz w:val="22"/>
          <w:highlight w:val="none"/>
        </w:rPr>
      </w:pPr>
    </w:p>
    <w:p w14:paraId="4B10813A">
      <w:pPr>
        <w:widowControl/>
        <w:snapToGrid w:val="0"/>
        <w:spacing w:line="264" w:lineRule="auto"/>
        <w:ind w:firstLine="440"/>
        <w:jc w:val="center"/>
        <w:rPr>
          <w:sz w:val="22"/>
          <w:highlight w:val="none"/>
        </w:rPr>
      </w:pPr>
      <m:oMathPara>
        <m:oMath>
          <m:sSub>
            <m:sSubPr>
              <m:ctrlPr>
                <w:rPr>
                  <w:rFonts w:ascii="Cambria Math" w:hAnsi="Cambria Math"/>
                  <w:i/>
                  <w:sz w:val="22"/>
                  <w:highlight w:val="none"/>
                </w:rPr>
              </m:ctrlPr>
            </m:sSubPr>
            <m:e>
              <m:r>
                <m:rPr/>
                <w:rPr>
                  <w:rFonts w:ascii="Cambria Math" w:hAnsi="Cambria Math"/>
                  <w:sz w:val="22"/>
                  <w:highlight w:val="none"/>
                </w:rPr>
                <m:t>S</m:t>
              </m:r>
              <m:ctrlPr>
                <w:rPr>
                  <w:rFonts w:ascii="Cambria Math" w:hAnsi="Cambria Math"/>
                  <w:i/>
                  <w:sz w:val="22"/>
                  <w:highlight w:val="none"/>
                </w:rPr>
              </m:ctrlPr>
            </m:e>
            <m:sub>
              <m:r>
                <m:rPr>
                  <m:sty m:val="p"/>
                </m:rPr>
                <w:rPr>
                  <w:rFonts w:ascii="Cambria Math" w:hAnsi="Cambria Math"/>
                  <w:sz w:val="22"/>
                  <w:highlight w:val="none"/>
                </w:rPr>
                <m:t>L</m:t>
              </m:r>
              <m:ctrlPr>
                <w:rPr>
                  <w:rFonts w:ascii="Cambria Math" w:hAnsi="Cambria Math"/>
                  <w:i/>
                  <w:sz w:val="22"/>
                  <w:highlight w:val="none"/>
                </w:rPr>
              </m:ctrlPr>
            </m:sub>
          </m:sSub>
          <m:r>
            <m:rPr/>
            <w:rPr>
              <w:rFonts w:ascii="Cambria Math" w:hAnsi="Cambria Math"/>
              <w:sz w:val="22"/>
              <w:highlight w:val="none"/>
            </w:rPr>
            <m:t>=</m:t>
          </m:r>
          <m:nary>
            <m:naryPr>
              <m:chr m:val="∑"/>
              <m:limLoc m:val="undOvr"/>
              <m:supHide m:val="1"/>
              <m:ctrlPr>
                <w:rPr>
                  <w:rFonts w:ascii="Cambria Math" w:hAnsi="Cambria Math"/>
                  <w:i/>
                  <w:sz w:val="22"/>
                  <w:highlight w:val="none"/>
                </w:rPr>
              </m:ctrlPr>
            </m:naryPr>
            <m:sub>
              <m:r>
                <m:rPr/>
                <w:rPr>
                  <w:rFonts w:ascii="Cambria Math" w:hAnsi="Cambria Math"/>
                  <w:sz w:val="22"/>
                  <w:highlight w:val="none"/>
                </w:rPr>
                <m:t>i</m:t>
              </m:r>
              <m:ctrlPr>
                <w:rPr>
                  <w:rFonts w:ascii="Cambria Math" w:hAnsi="Cambria Math"/>
                  <w:i/>
                  <w:sz w:val="22"/>
                  <w:highlight w:val="none"/>
                </w:rPr>
              </m:ctrlPr>
            </m:sub>
            <m:sup>
              <m:ctrlPr>
                <w:rPr>
                  <w:rFonts w:ascii="Cambria Math" w:hAnsi="Cambria Math"/>
                  <w:i/>
                  <w:sz w:val="22"/>
                  <w:highlight w:val="none"/>
                </w:rPr>
              </m:ctrlPr>
            </m:sup>
            <m:e>
              <m:f>
                <m:fPr>
                  <m:ctrlPr>
                    <w:rPr>
                      <w:rFonts w:ascii="Cambria Math" w:hAnsi="Cambria Math"/>
                      <w:i/>
                      <w:sz w:val="22"/>
                      <w:highlight w:val="none"/>
                    </w:rPr>
                  </m:ctrlPr>
                </m:fPr>
                <m:num>
                  <m:sSup>
                    <m:sSupPr>
                      <m:ctrlPr>
                        <w:rPr>
                          <w:rFonts w:ascii="Cambria Math" w:hAnsi="Cambria Math"/>
                          <w:i/>
                          <w:sz w:val="22"/>
                          <w:highlight w:val="none"/>
                        </w:rPr>
                      </m:ctrlPr>
                    </m:sSupPr>
                    <m:e>
                      <m:sSub>
                        <m:sSubPr>
                          <m:ctrlPr>
                            <w:rPr>
                              <w:rFonts w:ascii="Cambria Math" w:hAnsi="Cambria Math"/>
                              <w:i/>
                              <w:sz w:val="22"/>
                              <w:highlight w:val="none"/>
                            </w:rPr>
                          </m:ctrlPr>
                        </m:sSubPr>
                        <m:e>
                          <m:r>
                            <m:rPr/>
                            <w:rPr>
                              <w:rFonts w:ascii="Cambria Math" w:hAnsi="Cambria Math"/>
                              <w:sz w:val="22"/>
                              <w:highlight w:val="none"/>
                            </w:rPr>
                            <m:t>T</m:t>
                          </m:r>
                          <m:ctrlPr>
                            <w:rPr>
                              <w:rFonts w:ascii="Cambria Math" w:hAnsi="Cambria Math"/>
                              <w:i/>
                              <w:sz w:val="22"/>
                              <w:highlight w:val="none"/>
                            </w:rPr>
                          </m:ctrlPr>
                        </m:e>
                        <m:sub>
                          <m:r>
                            <m:rPr/>
                            <w:rPr>
                              <w:rFonts w:ascii="Cambria Math" w:hAnsi="Cambria Math"/>
                              <w:sz w:val="22"/>
                              <w:highlight w:val="none"/>
                            </w:rPr>
                            <m:t>i</m:t>
                          </m:r>
                          <m:ctrlPr>
                            <w:rPr>
                              <w:rFonts w:ascii="Cambria Math" w:hAnsi="Cambria Math"/>
                              <w:i/>
                              <w:sz w:val="22"/>
                              <w:highlight w:val="none"/>
                            </w:rPr>
                          </m:ctrlPr>
                        </m:sub>
                      </m:sSub>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num>
                <m:den>
                  <m:r>
                    <m:rPr/>
                    <w:rPr>
                      <w:rFonts w:ascii="Cambria Math" w:hAnsi="Cambria Math"/>
                      <w:sz w:val="22"/>
                      <w:highlight w:val="none"/>
                    </w:rPr>
                    <m:t>qn</m:t>
                  </m:r>
                  <m:ctrlPr>
                    <w:rPr>
                      <w:rFonts w:ascii="Cambria Math" w:hAnsi="Cambria Math"/>
                      <w:i/>
                      <w:sz w:val="22"/>
                      <w:highlight w:val="none"/>
                    </w:rPr>
                  </m:ctrlPr>
                </m:den>
              </m:f>
              <m:ctrlPr>
                <w:rPr>
                  <w:rFonts w:ascii="Cambria Math" w:hAnsi="Cambria Math"/>
                  <w:i/>
                  <w:sz w:val="22"/>
                  <w:highlight w:val="none"/>
                </w:rPr>
              </m:ctrlPr>
            </m:e>
          </m:nary>
          <m:r>
            <m:rPr/>
            <w:rPr>
              <w:rFonts w:ascii="Cambria Math" w:hAnsi="Cambria Math"/>
              <w:sz w:val="22"/>
              <w:highlight w:val="none"/>
            </w:rPr>
            <m:t>−</m:t>
          </m:r>
          <m:f>
            <m:fPr>
              <m:ctrlPr>
                <w:rPr>
                  <w:rFonts w:ascii="Cambria Math" w:hAnsi="Cambria Math"/>
                  <w:i/>
                  <w:sz w:val="22"/>
                  <w:highlight w:val="none"/>
                </w:rPr>
              </m:ctrlPr>
            </m:fPr>
            <m:num>
              <m:sSup>
                <m:sSupPr>
                  <m:ctrlPr>
                    <w:rPr>
                      <w:rFonts w:ascii="Cambria Math" w:hAnsi="Cambria Math"/>
                      <w:i/>
                      <w:sz w:val="22"/>
                      <w:highlight w:val="none"/>
                    </w:rPr>
                  </m:ctrlPr>
                </m:sSupPr>
                <m:e>
                  <m:r>
                    <m:rPr/>
                    <w:rPr>
                      <w:rFonts w:ascii="Cambria Math" w:hAnsi="Cambria Math"/>
                      <w:sz w:val="22"/>
                      <w:highlight w:val="none"/>
                    </w:rPr>
                    <m:t>T</m:t>
                  </m:r>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num>
            <m:den>
              <m:r>
                <m:rPr/>
                <w:rPr>
                  <w:rFonts w:ascii="Cambria Math" w:hAnsi="Cambria Math"/>
                  <w:sz w:val="22"/>
                  <w:highlight w:val="none"/>
                </w:rPr>
                <m:t>pqn</m:t>
              </m:r>
              <m:ctrlPr>
                <w:rPr>
                  <w:rFonts w:ascii="Cambria Math" w:hAnsi="Cambria Math"/>
                  <w:i/>
                  <w:sz w:val="22"/>
                  <w:highlight w:val="none"/>
                </w:rPr>
              </m:ctrlPr>
            </m:den>
          </m:f>
          <m:r>
            <m:rPr/>
            <w:rPr>
              <w:rFonts w:ascii="Cambria Math" w:hAnsi="Cambria Math"/>
              <w:sz w:val="22"/>
              <w:highlight w:val="none"/>
            </w:rPr>
            <m:t>=</m:t>
          </m:r>
          <m:f>
            <m:fPr>
              <m:ctrlPr>
                <w:rPr>
                  <w:rFonts w:ascii="Cambria Math" w:hAnsi="Cambria Math"/>
                  <w:i/>
                  <w:sz w:val="22"/>
                  <w:highlight w:val="none"/>
                </w:rPr>
              </m:ctrlPr>
            </m:fPr>
            <m:num>
              <m:r>
                <m:rPr/>
                <w:rPr>
                  <w:rFonts w:ascii="Cambria Math" w:hAnsi="Cambria Math"/>
                  <w:sz w:val="22"/>
                  <w:highlight w:val="none"/>
                </w:rPr>
                <m:t>6852.57</m:t>
              </m:r>
              <m:ctrlPr>
                <w:rPr>
                  <w:rFonts w:ascii="Cambria Math" w:hAnsi="Cambria Math"/>
                  <w:i/>
                  <w:sz w:val="22"/>
                  <w:highlight w:val="none"/>
                </w:rPr>
              </m:ctrlPr>
            </m:num>
            <m:den>
              <m:r>
                <m:rPr/>
                <w:rPr>
                  <w:rFonts w:ascii="Cambria Math" w:hAnsi="Cambria Math"/>
                  <w:sz w:val="22"/>
                  <w:highlight w:val="none"/>
                </w:rPr>
                <m:t>2×3</m:t>
              </m:r>
              <m:ctrlPr>
                <w:rPr>
                  <w:rFonts w:ascii="Cambria Math" w:hAnsi="Cambria Math"/>
                  <w:i/>
                  <w:sz w:val="22"/>
                  <w:highlight w:val="none"/>
                </w:rPr>
              </m:ctrlPr>
            </m:den>
          </m:f>
          <m:r>
            <m:rPr/>
            <w:rPr>
              <w:rFonts w:ascii="Cambria Math" w:hAnsi="Cambria Math"/>
              <w:sz w:val="22"/>
              <w:highlight w:val="none"/>
            </w:rPr>
            <m:t>−</m:t>
          </m:r>
          <m:f>
            <m:fPr>
              <m:ctrlPr>
                <w:rPr>
                  <w:rFonts w:ascii="Cambria Math" w:hAnsi="Cambria Math"/>
                  <w:i/>
                  <w:sz w:val="22"/>
                  <w:highlight w:val="none"/>
                </w:rPr>
              </m:ctrlPr>
            </m:fPr>
            <m:num>
              <m:sSup>
                <m:sSupPr>
                  <m:ctrlPr>
                    <w:rPr>
                      <w:rFonts w:ascii="Cambria Math" w:hAnsi="Cambria Math"/>
                      <w:sz w:val="22"/>
                      <w:highlight w:val="none"/>
                    </w:rPr>
                  </m:ctrlPr>
                </m:sSupPr>
                <m:e>
                  <m:r>
                    <m:rPr>
                      <m:sty m:val="p"/>
                    </m:rPr>
                    <w:rPr>
                      <w:rFonts w:ascii="Cambria Math" w:hAnsi="Cambria Math"/>
                      <w:sz w:val="22"/>
                      <w:highlight w:val="none"/>
                    </w:rPr>
                    <m:t>202.30</m:t>
                  </m:r>
                  <m:ctrlPr>
                    <w:rPr>
                      <w:rFonts w:ascii="Cambria Math" w:hAnsi="Cambria Math"/>
                      <w:sz w:val="22"/>
                      <w:highlight w:val="none"/>
                    </w:rPr>
                  </m:ctrlPr>
                </m:e>
                <m:sup>
                  <m:r>
                    <m:rPr>
                      <m:sty m:val="p"/>
                    </m:rPr>
                    <w:rPr>
                      <w:rFonts w:ascii="Cambria Math" w:hAnsi="Cambria Math"/>
                      <w:sz w:val="22"/>
                      <w:highlight w:val="none"/>
                    </w:rPr>
                    <m:t>2</m:t>
                  </m:r>
                  <m:ctrlPr>
                    <w:rPr>
                      <w:rFonts w:ascii="Cambria Math" w:hAnsi="Cambria Math"/>
                      <w:sz w:val="22"/>
                      <w:highlight w:val="none"/>
                    </w:rPr>
                  </m:ctrlPr>
                </m:sup>
              </m:sSup>
              <m:ctrlPr>
                <w:rPr>
                  <w:rFonts w:ascii="Cambria Math" w:hAnsi="Cambria Math"/>
                  <w:i/>
                  <w:sz w:val="22"/>
                  <w:highlight w:val="none"/>
                </w:rPr>
              </m:ctrlPr>
            </m:num>
            <m:den>
              <m:r>
                <m:rPr/>
                <w:rPr>
                  <w:rFonts w:ascii="Cambria Math" w:hAnsi="Cambria Math"/>
                  <w:sz w:val="22"/>
                  <w:highlight w:val="none"/>
                </w:rPr>
                <m:t>6×2×3</m:t>
              </m:r>
              <m:ctrlPr>
                <w:rPr>
                  <w:rFonts w:ascii="Cambria Math" w:hAnsi="Cambria Math"/>
                  <w:i/>
                  <w:sz w:val="22"/>
                  <w:highlight w:val="none"/>
                </w:rPr>
              </m:ctrlPr>
            </m:den>
          </m:f>
          <m:r>
            <m:rPr/>
            <w:rPr>
              <w:rFonts w:ascii="Cambria Math" w:hAnsi="Cambria Math"/>
              <w:sz w:val="22"/>
              <w:highlight w:val="none"/>
            </w:rPr>
            <m:t>=5.28</m:t>
          </m:r>
        </m:oMath>
      </m:oMathPara>
    </w:p>
    <w:p w14:paraId="6B33AE05">
      <w:pPr>
        <w:widowControl/>
        <w:snapToGrid w:val="0"/>
        <w:spacing w:line="264" w:lineRule="auto"/>
        <w:ind w:firstLine="440"/>
        <w:jc w:val="center"/>
        <w:rPr>
          <w:color w:val="000000" w:themeColor="text1"/>
          <w:sz w:val="22"/>
          <w:highlight w:val="none"/>
          <w14:textFill>
            <w14:solidFill>
              <w14:schemeClr w14:val="tx1"/>
            </w14:solidFill>
          </w14:textFill>
        </w:rPr>
      </w:pPr>
    </w:p>
    <w:p w14:paraId="61D7782A">
      <w:pPr>
        <w:widowControl/>
        <w:snapToGrid w:val="0"/>
        <w:spacing w:line="264" w:lineRule="auto"/>
        <w:ind w:firstLine="440"/>
        <w:jc w:val="center"/>
        <w:rPr>
          <w:color w:val="000000" w:themeColor="text1"/>
          <w:sz w:val="22"/>
          <w:highlight w:val="none"/>
          <w14:textFill>
            <w14:solidFill>
              <w14:schemeClr w14:val="tx1"/>
            </w14:solidFill>
          </w14:textFill>
        </w:rPr>
      </w:pPr>
      <m:oMathPara>
        <m:oMath>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j</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f>
                    <m:fPr>
                      <m:ctrlPr>
                        <w:rPr>
                          <w:rFonts w:ascii="Cambria Math" w:hAnsi="Cambria Math"/>
                          <w:i/>
                          <w:color w:val="000000" w:themeColor="text1"/>
                          <w:sz w:val="22"/>
                          <w:highlight w:val="none"/>
                          <w14:textFill>
                            <w14:solidFill>
                              <w14:schemeClr w14:val="tx1"/>
                            </w14:solidFill>
                          </w14:textFill>
                        </w:rPr>
                      </m:ctrlPr>
                    </m:fPr>
                    <m:num>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T</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ij</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n</m:t>
                      </m:r>
                      <m:ctrlPr>
                        <w:rPr>
                          <w:rFonts w:ascii="Cambria Math" w:hAnsi="Cambria Math"/>
                          <w:i/>
                          <w:color w:val="000000" w:themeColor="text1"/>
                          <w:sz w:val="22"/>
                          <w:highlight w:val="none"/>
                          <w14:textFill>
                            <w14:solidFill>
                              <w14:schemeClr w14:val="tx1"/>
                            </w14:solidFill>
                          </w14:textFill>
                        </w:rPr>
                      </m:ctrlPr>
                    </m:den>
                  </m:f>
                  <m:ctrlPr>
                    <w:rPr>
                      <w:rFonts w:ascii="Cambria Math" w:hAnsi="Cambria Math"/>
                      <w:i/>
                      <w:color w:val="000000" w:themeColor="text1"/>
                      <w:sz w:val="22"/>
                      <w:highlight w:val="none"/>
                      <w14:textFill>
                        <w14:solidFill>
                          <w14:schemeClr w14:val="tx1"/>
                        </w14:solidFill>
                      </w14:textFill>
                    </w:rPr>
                  </m:ctrlPr>
                </m:e>
              </m:nary>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f>
                    <m:fPr>
                      <m:ctrlPr>
                        <w:rPr>
                          <w:rFonts w:ascii="Cambria Math" w:hAnsi="Cambria Math"/>
                          <w:i/>
                          <w:color w:val="000000" w:themeColor="text1"/>
                          <w:sz w:val="22"/>
                          <w:highlight w:val="none"/>
                          <w14:textFill>
                            <w14:solidFill>
                              <w14:schemeClr w14:val="tx1"/>
                            </w14:solidFill>
                          </w14:textFill>
                        </w:rPr>
                      </m:ctrlPr>
                    </m:fPr>
                    <m:num>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T</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qn</m:t>
                      </m:r>
                      <m:ctrlPr>
                        <w:rPr>
                          <w:rFonts w:ascii="Cambria Math" w:hAnsi="Cambria Math"/>
                          <w:i/>
                          <w:color w:val="000000" w:themeColor="text1"/>
                          <w:sz w:val="22"/>
                          <w:highlight w:val="none"/>
                          <w14:textFill>
                            <w14:solidFill>
                              <w14:schemeClr w14:val="tx1"/>
                            </w14:solidFill>
                          </w14:textFill>
                        </w:rPr>
                      </m:ctrlPr>
                    </m:den>
                  </m:f>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3428.25</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3</m:t>
              </m:r>
              <m:ctrlPr>
                <w:rPr>
                  <w:rFonts w:ascii="Cambria Math" w:hAnsi="Cambria Math"/>
                  <w:i/>
                  <w:color w:val="000000" w:themeColor="text1"/>
                  <w:sz w:val="22"/>
                  <w:highlight w:val="none"/>
                  <w14:textFill>
                    <w14:solidFill>
                      <w14:schemeClr w14:val="tx1"/>
                    </w14:solidFill>
                  </w14:textFill>
                </w:rPr>
              </m:ctrlPr>
            </m:den>
          </m:f>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sz w:val="22"/>
                  <w:highlight w:val="none"/>
                </w:rPr>
                <m:t>6852.57</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2×3</m:t>
              </m:r>
              <m:ctrlPr>
                <w:rPr>
                  <w:rFonts w:ascii="Cambria Math" w:hAnsi="Cambria Math"/>
                  <w:i/>
                  <w:color w:val="000000" w:themeColor="text1"/>
                  <w:sz w:val="22"/>
                  <w:highlight w:val="none"/>
                  <w14:textFill>
                    <w14:solidFill>
                      <w14:schemeClr w14:val="tx1"/>
                    </w14:solidFill>
                  </w14:textFill>
                </w:rPr>
              </m:ctrlPr>
            </m:den>
          </m:f>
          <m:r>
            <m:rPr/>
            <w:rPr>
              <w:rFonts w:ascii="Cambria Math" w:hAnsi="Cambria Math"/>
              <w:color w:val="000000" w:themeColor="text1"/>
              <w:sz w:val="22"/>
              <w:highlight w:val="none"/>
              <w14:textFill>
                <w14:solidFill>
                  <w14:schemeClr w14:val="tx1"/>
                </w14:solidFill>
              </w14:textFill>
            </w:rPr>
            <m:t>=0.66</m:t>
          </m:r>
        </m:oMath>
      </m:oMathPara>
    </w:p>
    <w:p w14:paraId="63FDDB19">
      <w:pPr>
        <w:widowControl/>
        <w:snapToGrid w:val="0"/>
        <w:spacing w:line="264" w:lineRule="auto"/>
        <w:ind w:firstLine="440"/>
        <w:jc w:val="center"/>
        <w:rPr>
          <w:b/>
          <w:color w:val="000000" w:themeColor="text1"/>
          <w:sz w:val="22"/>
          <w:highlight w:val="none"/>
          <w14:textFill>
            <w14:solidFill>
              <w14:schemeClr w14:val="tx1"/>
            </w14:solidFill>
          </w14:textFill>
        </w:rPr>
      </w:pPr>
    </w:p>
    <w:p w14:paraId="44E566A5">
      <w:pPr>
        <w:widowControl/>
        <w:snapToGrid w:val="0"/>
        <w:spacing w:line="264" w:lineRule="auto"/>
        <w:ind w:firstLine="440"/>
        <w:jc w:val="center"/>
        <w:rPr>
          <w:color w:val="000000" w:themeColor="text1"/>
          <w:sz w:val="22"/>
          <w:highlight w:val="none"/>
          <w14:textFill>
            <w14:solidFill>
              <w14:schemeClr w14:val="tx1"/>
            </w14:solidFill>
          </w14:textFill>
        </w:rPr>
      </w:pPr>
      <m:oMathPara>
        <m:oMath>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j</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k</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y</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ijk</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j</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f>
                                <m:fPr>
                                  <m:ctrlPr>
                                    <w:rPr>
                                      <w:rFonts w:ascii="Cambria Math" w:hAnsi="Cambria Math"/>
                                      <w:i/>
                                      <w:color w:val="000000" w:themeColor="text1"/>
                                      <w:sz w:val="22"/>
                                      <w:highlight w:val="none"/>
                                      <w14:textFill>
                                        <w14:solidFill>
                                          <w14:schemeClr w14:val="tx1"/>
                                        </w14:solidFill>
                                      </w14:textFill>
                                    </w:rPr>
                                  </m:ctrlPr>
                                </m:fPr>
                                <m:num>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T</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ij</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n</m:t>
                                  </m:r>
                                  <m:ctrlPr>
                                    <w:rPr>
                                      <w:rFonts w:ascii="Cambria Math" w:hAnsi="Cambria Math"/>
                                      <w:i/>
                                      <w:color w:val="000000" w:themeColor="text1"/>
                                      <w:sz w:val="22"/>
                                      <w:highlight w:val="none"/>
                                      <w14:textFill>
                                        <w14:solidFill>
                                          <w14:schemeClr w14:val="tx1"/>
                                        </w14:solidFill>
                                      </w14:textFill>
                                    </w:rPr>
                                  </m:ctrlPr>
                                </m:den>
                              </m:f>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r>
            <m:rPr/>
            <w:rPr>
              <w:rFonts w:ascii="Cambria Math" w:hAnsi="Cambria Math"/>
              <w:color w:val="000000" w:themeColor="text1"/>
              <w:sz w:val="22"/>
              <w:highlight w:val="none"/>
              <w14:textFill>
                <w14:solidFill>
                  <w14:schemeClr w14:val="tx1"/>
                </w14:solidFill>
              </w14:textFill>
            </w:rPr>
            <m:t>=</m:t>
          </m:r>
          <m:r>
            <m:rPr/>
            <w:rPr>
              <w:rFonts w:ascii="Cambria Math" w:hAnsi="Cambria Math"/>
              <w:sz w:val="22"/>
              <w:highlight w:val="none"/>
            </w:rPr>
            <m:t>1146.31</m:t>
          </m:r>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3428.25</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3</m:t>
              </m:r>
              <m:ctrlPr>
                <w:rPr>
                  <w:rFonts w:ascii="Cambria Math" w:hAnsi="Cambria Math"/>
                  <w:i/>
                  <w:color w:val="000000" w:themeColor="text1"/>
                  <w:sz w:val="22"/>
                  <w:highlight w:val="none"/>
                  <w14:textFill>
                    <w14:solidFill>
                      <w14:schemeClr w14:val="tx1"/>
                    </w14:solidFill>
                  </w14:textFill>
                </w:rPr>
              </m:ctrlPr>
            </m:den>
          </m:f>
          <m:r>
            <m:rPr/>
            <w:rPr>
              <w:rFonts w:ascii="Cambria Math" w:hAnsi="Cambria Math"/>
              <w:color w:val="000000" w:themeColor="text1"/>
              <w:sz w:val="22"/>
              <w:highlight w:val="none"/>
              <w14:textFill>
                <w14:solidFill>
                  <w14:schemeClr w14:val="tx1"/>
                </w14:solidFill>
              </w14:textFill>
            </w:rPr>
            <m:t>=3.56</m:t>
          </m:r>
        </m:oMath>
      </m:oMathPara>
    </w:p>
    <w:p w14:paraId="077DBEAE">
      <w:pPr>
        <w:widowControl/>
        <w:snapToGrid w:val="0"/>
        <w:spacing w:before="156" w:beforeLines="50" w:line="300" w:lineRule="auto"/>
        <w:jc w:val="left"/>
        <w:rPr>
          <w:color w:val="000000" w:themeColor="text1"/>
          <w:sz w:val="22"/>
          <w:highlight w:val="none"/>
          <w14:textFill>
            <w14:solidFill>
              <w14:schemeClr w14:val="tx1"/>
            </w14:solidFill>
          </w14:textFill>
        </w:rPr>
      </w:pPr>
    </w:p>
    <w:p w14:paraId="5CBB35A3">
      <w:pPr>
        <w:jc w:val="center"/>
        <w:rPr>
          <w:rFonts w:eastAsia="黑体"/>
          <w:bCs/>
          <w:highlight w:val="none"/>
        </w:rPr>
      </w:pPr>
      <w:r>
        <w:rPr>
          <w:rFonts w:eastAsia="黑体"/>
          <w:bCs/>
          <w:highlight w:val="none"/>
        </w:rPr>
        <w:t>表</w:t>
      </w:r>
      <w:r>
        <w:rPr>
          <w:rFonts w:hint="eastAsia" w:eastAsia="黑体"/>
          <w:bCs/>
          <w:highlight w:val="none"/>
        </w:rPr>
        <w:t>10</w:t>
      </w:r>
      <w:r>
        <w:rPr>
          <w:rFonts w:eastAsia="黑体"/>
          <w:bCs/>
          <w:highlight w:val="none"/>
        </w:rPr>
        <w:t>样品B的ANOVA表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1807"/>
        <w:gridCol w:w="1807"/>
        <w:gridCol w:w="1807"/>
        <w:gridCol w:w="2060"/>
      </w:tblGrid>
      <w:tr w14:paraId="7B88B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vAlign w:val="center"/>
          </w:tcPr>
          <w:p w14:paraId="6668AC66">
            <w:pPr>
              <w:jc w:val="center"/>
              <w:rPr>
                <w:rFonts w:eastAsiaTheme="minorEastAsia"/>
                <w:szCs w:val="21"/>
                <w:highlight w:val="none"/>
              </w:rPr>
            </w:pPr>
          </w:p>
        </w:tc>
        <w:tc>
          <w:tcPr>
            <w:tcW w:w="973" w:type="pct"/>
            <w:vAlign w:val="center"/>
          </w:tcPr>
          <w:p w14:paraId="1834D3BC">
            <w:pPr>
              <w:jc w:val="center"/>
              <w:rPr>
                <w:rFonts w:eastAsiaTheme="minorEastAsia"/>
                <w:szCs w:val="21"/>
                <w:highlight w:val="none"/>
              </w:rPr>
            </w:pPr>
            <w:r>
              <w:rPr>
                <w:rFonts w:eastAsiaTheme="minorEastAsia"/>
                <w:szCs w:val="21"/>
                <w:highlight w:val="none"/>
              </w:rPr>
              <w:t>平方和</w:t>
            </w:r>
          </w:p>
        </w:tc>
        <w:tc>
          <w:tcPr>
            <w:tcW w:w="973" w:type="pct"/>
            <w:vAlign w:val="center"/>
          </w:tcPr>
          <w:p w14:paraId="7832463A">
            <w:pPr>
              <w:jc w:val="center"/>
              <w:rPr>
                <w:rFonts w:eastAsiaTheme="minorEastAsia"/>
                <w:szCs w:val="21"/>
                <w:highlight w:val="none"/>
              </w:rPr>
            </w:pPr>
            <w:r>
              <w:rPr>
                <w:rFonts w:eastAsiaTheme="minorEastAsia"/>
                <w:szCs w:val="21"/>
                <w:highlight w:val="none"/>
              </w:rPr>
              <w:t>自由度</w:t>
            </w:r>
          </w:p>
        </w:tc>
        <w:tc>
          <w:tcPr>
            <w:tcW w:w="973" w:type="pct"/>
            <w:vAlign w:val="center"/>
          </w:tcPr>
          <w:p w14:paraId="244D010B">
            <w:pPr>
              <w:jc w:val="center"/>
              <w:rPr>
                <w:rFonts w:eastAsiaTheme="minorEastAsia"/>
                <w:szCs w:val="21"/>
                <w:highlight w:val="none"/>
              </w:rPr>
            </w:pPr>
            <w:r>
              <w:rPr>
                <w:rFonts w:eastAsiaTheme="minorEastAsia"/>
                <w:szCs w:val="21"/>
                <w:highlight w:val="none"/>
              </w:rPr>
              <w:t>均方</w:t>
            </w:r>
          </w:p>
        </w:tc>
        <w:tc>
          <w:tcPr>
            <w:tcW w:w="1109" w:type="pct"/>
            <w:vAlign w:val="center"/>
          </w:tcPr>
          <w:p w14:paraId="78E2B60A">
            <w:pPr>
              <w:jc w:val="center"/>
              <w:rPr>
                <w:rFonts w:eastAsiaTheme="minorEastAsia"/>
                <w:szCs w:val="21"/>
                <w:highlight w:val="none"/>
              </w:rPr>
            </w:pPr>
            <w:r>
              <w:rPr>
                <w:rFonts w:eastAsiaTheme="minorEastAsia"/>
                <w:szCs w:val="21"/>
                <w:highlight w:val="none"/>
              </w:rPr>
              <w:t>预期平均值</w:t>
            </w:r>
          </w:p>
        </w:tc>
      </w:tr>
      <w:tr w14:paraId="288E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vAlign w:val="center"/>
          </w:tcPr>
          <w:p w14:paraId="2273073D">
            <w:pPr>
              <w:jc w:val="center"/>
              <w:rPr>
                <w:rFonts w:eastAsiaTheme="minorEastAsia"/>
                <w:szCs w:val="21"/>
                <w:highlight w:val="none"/>
              </w:rPr>
            </w:pPr>
            <w:r>
              <w:rPr>
                <w:rFonts w:eastAsiaTheme="minorEastAsia"/>
                <w:szCs w:val="21"/>
                <w:highlight w:val="none"/>
              </w:rPr>
              <w:t>实验室</w:t>
            </w:r>
          </w:p>
        </w:tc>
        <w:tc>
          <w:tcPr>
            <w:tcW w:w="973" w:type="pct"/>
            <w:vAlign w:val="center"/>
          </w:tcPr>
          <w:p w14:paraId="26273269">
            <w:pPr>
              <w:jc w:val="center"/>
              <w:rPr>
                <w:rFonts w:eastAsiaTheme="minorEastAsia"/>
                <w:color w:val="000000"/>
                <w:szCs w:val="21"/>
                <w:highlight w:val="none"/>
              </w:rPr>
            </w:pPr>
            <w:r>
              <w:rPr>
                <w:rFonts w:eastAsiaTheme="minorEastAsia"/>
                <w:color w:val="000000"/>
                <w:szCs w:val="21"/>
                <w:highlight w:val="none"/>
              </w:rPr>
              <w:t>5.28</w:t>
            </w:r>
          </w:p>
        </w:tc>
        <w:tc>
          <w:tcPr>
            <w:tcW w:w="973" w:type="pct"/>
            <w:vAlign w:val="center"/>
          </w:tcPr>
          <w:p w14:paraId="57B16AAD">
            <w:pPr>
              <w:jc w:val="center"/>
              <w:rPr>
                <w:rFonts w:eastAsiaTheme="minorEastAsia"/>
                <w:szCs w:val="21"/>
                <w:highlight w:val="none"/>
              </w:rPr>
            </w:pPr>
            <w:r>
              <w:rPr>
                <w:rFonts w:eastAsiaTheme="minorEastAsia"/>
                <w:szCs w:val="21"/>
                <w:highlight w:val="none"/>
              </w:rPr>
              <w:t>5</w:t>
            </w:r>
          </w:p>
        </w:tc>
        <w:tc>
          <w:tcPr>
            <w:tcW w:w="973" w:type="pct"/>
            <w:vAlign w:val="center"/>
          </w:tcPr>
          <w:p w14:paraId="38DFCDAD">
            <w:pPr>
              <w:jc w:val="center"/>
              <w:rPr>
                <w:rFonts w:eastAsiaTheme="minorEastAsia"/>
                <w:color w:val="000000"/>
                <w:szCs w:val="21"/>
                <w:highlight w:val="none"/>
              </w:rPr>
            </w:pPr>
            <w:r>
              <w:rPr>
                <w:rFonts w:eastAsiaTheme="minorEastAsia"/>
                <w:color w:val="000000"/>
                <w:szCs w:val="21"/>
                <w:highlight w:val="none"/>
              </w:rPr>
              <w:t>1.06</w:t>
            </w:r>
          </w:p>
        </w:tc>
        <w:tc>
          <w:tcPr>
            <w:tcW w:w="1109" w:type="pct"/>
            <w:vAlign w:val="center"/>
          </w:tcPr>
          <w:p w14:paraId="47B0D9D1">
            <w:pPr>
              <w:jc w:val="center"/>
              <w:rPr>
                <w:rFonts w:eastAsiaTheme="minorEastAsia"/>
                <w:color w:val="000000"/>
                <w:szCs w:val="21"/>
                <w:highlight w:val="none"/>
              </w:rPr>
            </w:pPr>
            <w:r>
              <w:rPr>
                <w:rFonts w:eastAsiaTheme="minorEastAsia"/>
                <w:color w:val="000000"/>
                <w:szCs w:val="21"/>
                <w:highlight w:val="none"/>
              </w:rPr>
              <w:t>1.06</w:t>
            </w:r>
          </w:p>
        </w:tc>
      </w:tr>
      <w:tr w14:paraId="59159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vAlign w:val="center"/>
          </w:tcPr>
          <w:p w14:paraId="3763D0BB">
            <w:pPr>
              <w:jc w:val="center"/>
              <w:rPr>
                <w:rFonts w:eastAsiaTheme="minorEastAsia"/>
                <w:szCs w:val="21"/>
                <w:highlight w:val="none"/>
              </w:rPr>
            </w:pPr>
            <w:bookmarkStart w:id="44" w:name="_Hlk207126066"/>
            <w:r>
              <w:rPr>
                <w:rFonts w:eastAsiaTheme="minorEastAsia"/>
                <w:szCs w:val="21"/>
                <w:highlight w:val="none"/>
              </w:rPr>
              <w:t>天</w:t>
            </w:r>
          </w:p>
        </w:tc>
        <w:tc>
          <w:tcPr>
            <w:tcW w:w="973" w:type="pct"/>
            <w:vAlign w:val="center"/>
          </w:tcPr>
          <w:p w14:paraId="69036C6E">
            <w:pPr>
              <w:jc w:val="center"/>
              <w:rPr>
                <w:rFonts w:eastAsiaTheme="minorEastAsia"/>
                <w:color w:val="000000"/>
                <w:szCs w:val="21"/>
                <w:highlight w:val="none"/>
              </w:rPr>
            </w:pPr>
            <w:r>
              <w:rPr>
                <w:rFonts w:eastAsiaTheme="minorEastAsia"/>
                <w:color w:val="000000"/>
                <w:szCs w:val="21"/>
                <w:highlight w:val="none"/>
              </w:rPr>
              <w:t>0.66</w:t>
            </w:r>
          </w:p>
        </w:tc>
        <w:tc>
          <w:tcPr>
            <w:tcW w:w="973" w:type="pct"/>
            <w:vAlign w:val="center"/>
          </w:tcPr>
          <w:p w14:paraId="4B655FD3">
            <w:pPr>
              <w:jc w:val="center"/>
              <w:rPr>
                <w:rFonts w:eastAsiaTheme="minorEastAsia"/>
                <w:szCs w:val="21"/>
                <w:highlight w:val="none"/>
              </w:rPr>
            </w:pPr>
            <w:r>
              <w:rPr>
                <w:rFonts w:eastAsiaTheme="minorEastAsia"/>
                <w:szCs w:val="21"/>
                <w:highlight w:val="none"/>
              </w:rPr>
              <w:t>6</w:t>
            </w:r>
          </w:p>
        </w:tc>
        <w:tc>
          <w:tcPr>
            <w:tcW w:w="973" w:type="pct"/>
            <w:vAlign w:val="center"/>
          </w:tcPr>
          <w:p w14:paraId="7D4E53B5">
            <w:pPr>
              <w:jc w:val="center"/>
              <w:rPr>
                <w:rFonts w:eastAsiaTheme="minorEastAsia"/>
                <w:color w:val="000000"/>
                <w:szCs w:val="21"/>
                <w:highlight w:val="none"/>
              </w:rPr>
            </w:pPr>
            <w:r>
              <w:rPr>
                <w:rFonts w:eastAsiaTheme="minorEastAsia"/>
                <w:color w:val="000000"/>
                <w:szCs w:val="21"/>
                <w:highlight w:val="none"/>
              </w:rPr>
              <w:t>0.11</w:t>
            </w:r>
          </w:p>
        </w:tc>
        <w:tc>
          <w:tcPr>
            <w:tcW w:w="1109" w:type="pct"/>
            <w:vAlign w:val="center"/>
          </w:tcPr>
          <w:p w14:paraId="2F2E9640">
            <w:pPr>
              <w:jc w:val="center"/>
              <w:rPr>
                <w:rFonts w:eastAsiaTheme="minorEastAsia"/>
                <w:color w:val="000000"/>
                <w:szCs w:val="21"/>
                <w:highlight w:val="none"/>
              </w:rPr>
            </w:pPr>
            <w:r>
              <w:rPr>
                <w:rFonts w:eastAsiaTheme="minorEastAsia"/>
                <w:color w:val="000000"/>
                <w:szCs w:val="21"/>
                <w:highlight w:val="none"/>
              </w:rPr>
              <w:t>0.11</w:t>
            </w:r>
          </w:p>
        </w:tc>
      </w:tr>
      <w:tr w14:paraId="2BA77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vAlign w:val="center"/>
          </w:tcPr>
          <w:p w14:paraId="213C0F97">
            <w:pPr>
              <w:jc w:val="center"/>
              <w:rPr>
                <w:rFonts w:eastAsiaTheme="minorEastAsia"/>
                <w:szCs w:val="21"/>
                <w:highlight w:val="none"/>
              </w:rPr>
            </w:pPr>
            <w:r>
              <w:rPr>
                <w:rFonts w:eastAsiaTheme="minorEastAsia"/>
                <w:szCs w:val="21"/>
                <w:highlight w:val="none"/>
              </w:rPr>
              <w:t>测量</w:t>
            </w:r>
          </w:p>
        </w:tc>
        <w:tc>
          <w:tcPr>
            <w:tcW w:w="973" w:type="pct"/>
            <w:vAlign w:val="center"/>
          </w:tcPr>
          <w:p w14:paraId="14E04313">
            <w:pPr>
              <w:jc w:val="center"/>
              <w:rPr>
                <w:rFonts w:eastAsiaTheme="minorEastAsia"/>
                <w:color w:val="000000"/>
                <w:szCs w:val="21"/>
                <w:highlight w:val="none"/>
              </w:rPr>
            </w:pPr>
            <w:r>
              <w:rPr>
                <w:rFonts w:eastAsiaTheme="minorEastAsia"/>
                <w:color w:val="000000"/>
                <w:szCs w:val="21"/>
                <w:highlight w:val="none"/>
              </w:rPr>
              <w:t>3.56</w:t>
            </w:r>
          </w:p>
        </w:tc>
        <w:tc>
          <w:tcPr>
            <w:tcW w:w="973" w:type="pct"/>
            <w:vAlign w:val="center"/>
          </w:tcPr>
          <w:p w14:paraId="38CF3170">
            <w:pPr>
              <w:jc w:val="center"/>
              <w:rPr>
                <w:rFonts w:eastAsiaTheme="minorEastAsia"/>
                <w:szCs w:val="21"/>
                <w:highlight w:val="none"/>
              </w:rPr>
            </w:pPr>
            <w:r>
              <w:rPr>
                <w:rFonts w:eastAsiaTheme="minorEastAsia"/>
                <w:szCs w:val="21"/>
                <w:highlight w:val="none"/>
              </w:rPr>
              <w:t>24</w:t>
            </w:r>
          </w:p>
        </w:tc>
        <w:tc>
          <w:tcPr>
            <w:tcW w:w="973" w:type="pct"/>
            <w:vAlign w:val="center"/>
          </w:tcPr>
          <w:p w14:paraId="396FE43B">
            <w:pPr>
              <w:jc w:val="center"/>
              <w:rPr>
                <w:rFonts w:eastAsiaTheme="minorEastAsia"/>
                <w:color w:val="000000"/>
                <w:szCs w:val="21"/>
                <w:highlight w:val="none"/>
              </w:rPr>
            </w:pPr>
            <w:r>
              <w:rPr>
                <w:rFonts w:eastAsiaTheme="minorEastAsia"/>
                <w:color w:val="000000"/>
                <w:szCs w:val="21"/>
                <w:highlight w:val="none"/>
              </w:rPr>
              <w:t>0.15</w:t>
            </w:r>
          </w:p>
        </w:tc>
        <w:tc>
          <w:tcPr>
            <w:tcW w:w="1109" w:type="pct"/>
            <w:vAlign w:val="center"/>
          </w:tcPr>
          <w:p w14:paraId="2352FDD6">
            <w:pPr>
              <w:jc w:val="center"/>
              <w:rPr>
                <w:rFonts w:eastAsiaTheme="minorEastAsia"/>
                <w:color w:val="000000"/>
                <w:szCs w:val="21"/>
                <w:highlight w:val="none"/>
              </w:rPr>
            </w:pPr>
            <w:r>
              <w:rPr>
                <w:rFonts w:eastAsiaTheme="minorEastAsia"/>
                <w:color w:val="000000"/>
                <w:szCs w:val="21"/>
                <w:highlight w:val="none"/>
              </w:rPr>
              <w:t>0.15</w:t>
            </w:r>
          </w:p>
        </w:tc>
      </w:tr>
      <w:bookmarkEnd w:id="44"/>
      <w:tr w14:paraId="1AD4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vAlign w:val="center"/>
          </w:tcPr>
          <w:p w14:paraId="716567DF">
            <w:pPr>
              <w:jc w:val="center"/>
              <w:rPr>
                <w:rFonts w:eastAsiaTheme="minorEastAsia"/>
                <w:szCs w:val="21"/>
                <w:highlight w:val="none"/>
              </w:rPr>
            </w:pPr>
            <w:r>
              <w:rPr>
                <w:rFonts w:eastAsiaTheme="minorEastAsia"/>
                <w:szCs w:val="21"/>
                <w:highlight w:val="none"/>
              </w:rPr>
              <w:t>总和</w:t>
            </w:r>
          </w:p>
        </w:tc>
        <w:tc>
          <w:tcPr>
            <w:tcW w:w="973" w:type="pct"/>
            <w:vAlign w:val="center"/>
          </w:tcPr>
          <w:p w14:paraId="683A26C8">
            <w:pPr>
              <w:jc w:val="center"/>
              <w:rPr>
                <w:rFonts w:eastAsiaTheme="minorEastAsia"/>
                <w:color w:val="000000"/>
                <w:szCs w:val="21"/>
                <w:highlight w:val="none"/>
              </w:rPr>
            </w:pPr>
            <w:r>
              <w:rPr>
                <w:rFonts w:eastAsiaTheme="minorEastAsia"/>
                <w:color w:val="000000"/>
                <w:szCs w:val="21"/>
                <w:highlight w:val="none"/>
              </w:rPr>
              <w:t>9.50</w:t>
            </w:r>
          </w:p>
        </w:tc>
        <w:tc>
          <w:tcPr>
            <w:tcW w:w="973" w:type="pct"/>
            <w:vAlign w:val="center"/>
          </w:tcPr>
          <w:p w14:paraId="642869D3">
            <w:pPr>
              <w:jc w:val="center"/>
              <w:rPr>
                <w:rFonts w:eastAsiaTheme="minorEastAsia"/>
                <w:szCs w:val="21"/>
                <w:highlight w:val="none"/>
              </w:rPr>
            </w:pPr>
            <w:r>
              <w:rPr>
                <w:rFonts w:eastAsiaTheme="minorEastAsia"/>
                <w:szCs w:val="21"/>
                <w:highlight w:val="none"/>
              </w:rPr>
              <w:t>35</w:t>
            </w:r>
          </w:p>
        </w:tc>
        <w:tc>
          <w:tcPr>
            <w:tcW w:w="973" w:type="pct"/>
            <w:vAlign w:val="center"/>
          </w:tcPr>
          <w:p w14:paraId="39DD152A">
            <w:pPr>
              <w:jc w:val="center"/>
              <w:rPr>
                <w:rFonts w:eastAsiaTheme="minorEastAsia"/>
                <w:szCs w:val="21"/>
                <w:highlight w:val="none"/>
              </w:rPr>
            </w:pPr>
          </w:p>
        </w:tc>
        <w:tc>
          <w:tcPr>
            <w:tcW w:w="1109" w:type="pct"/>
            <w:vAlign w:val="center"/>
          </w:tcPr>
          <w:p w14:paraId="172D59F9">
            <w:pPr>
              <w:jc w:val="center"/>
              <w:rPr>
                <w:rFonts w:eastAsiaTheme="minorEastAsia"/>
                <w:szCs w:val="21"/>
                <w:highlight w:val="none"/>
              </w:rPr>
            </w:pPr>
          </w:p>
        </w:tc>
      </w:tr>
    </w:tbl>
    <w:p w14:paraId="6FC4EDA1">
      <w:pPr>
        <w:widowControl/>
        <w:snapToGrid w:val="0"/>
        <w:spacing w:line="300" w:lineRule="auto"/>
        <w:ind w:firstLine="442"/>
        <w:rPr>
          <w:sz w:val="24"/>
          <w:highlight w:val="none"/>
        </w:rPr>
      </w:pPr>
      <w:r>
        <w:rPr>
          <w:sz w:val="24"/>
          <w:highlight w:val="none"/>
        </w:rPr>
        <w:t>根据该ANOVA表（表</w:t>
      </w:r>
      <w:r>
        <w:rPr>
          <w:rFonts w:hint="eastAsia"/>
          <w:sz w:val="24"/>
          <w:highlight w:val="none"/>
        </w:rPr>
        <w:t>10</w:t>
      </w:r>
      <w:r>
        <w:rPr>
          <w:sz w:val="24"/>
          <w:highlight w:val="none"/>
        </w:rPr>
        <w:t>），使用下列公式估计样品B的方差分量和计算精密度：</w:t>
      </w:r>
    </w:p>
    <w:p w14:paraId="5CA91065">
      <w:pPr>
        <w:widowControl/>
        <w:snapToGrid w:val="0"/>
        <w:spacing w:line="300" w:lineRule="auto"/>
        <w:ind w:firstLine="440"/>
        <w:jc w:val="center"/>
        <w:rPr>
          <w:rFonts w:ascii="Cambria Math" w:hAnsi="Cambria Math"/>
          <w:color w:val="000000" w:themeColor="text1"/>
          <w:sz w:val="22"/>
          <w:highlight w:val="none"/>
          <w14:textFill>
            <w14:solidFill>
              <w14:schemeClr w14:val="tx1"/>
            </w14:solidFill>
          </w14:textFill>
          <w:oMath/>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L</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1</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2n</m:t>
              </m:r>
              <m:ctrlPr>
                <w:rPr>
                  <w:rFonts w:ascii="Cambria Math" w:hAnsi="Cambria Math"/>
                  <w:i/>
                  <w:color w:val="000000" w:themeColor="text1"/>
                  <w:sz w:val="22"/>
                  <w:highlight w:val="none"/>
                  <w14:textFill>
                    <w14:solidFill>
                      <w14:schemeClr w14:val="tx1"/>
                    </w14:solidFill>
                  </w14:textFill>
                </w:rPr>
              </m:ctrlPr>
            </m:den>
          </m:f>
          <m:d>
            <m:dPr>
              <m:ctrlPr>
                <w:rPr>
                  <w:rFonts w:ascii="Cambria Math" w:hAnsi="Cambria Math"/>
                  <w:i/>
                  <w:color w:val="000000" w:themeColor="text1"/>
                  <w:sz w:val="22"/>
                  <w:highlight w:val="none"/>
                  <w14:textFill>
                    <w14:solidFill>
                      <w14:schemeClr w14:val="tx1"/>
                    </w14:solidFill>
                  </w14:textFill>
                </w:rPr>
              </m:ctrlPr>
            </m:d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L</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d>
          <m:r>
            <m:rPr/>
            <w:rPr>
              <w:rFonts w:ascii="Cambria Math" w:hAnsi="Cambria Math"/>
              <w:color w:val="000000" w:themeColor="text1"/>
              <w:sz w:val="22"/>
              <w:highlight w:val="none"/>
              <w14:textFill>
                <w14:solidFill>
                  <w14:schemeClr w14:val="tx1"/>
                </w14:solidFill>
              </w14:textFill>
            </w:rPr>
            <m:t>=0.16</m:t>
          </m:r>
        </m:oMath>
      </m:oMathPara>
    </w:p>
    <w:p w14:paraId="50213B0B">
      <w:pPr>
        <w:widowControl/>
        <w:snapToGrid w:val="0"/>
        <w:spacing w:line="300" w:lineRule="auto"/>
        <w:ind w:firstLine="440"/>
        <w:jc w:val="center"/>
        <w:rPr>
          <w:color w:val="000000" w:themeColor="text1"/>
          <w:sz w:val="22"/>
          <w:highlight w:val="none"/>
          <w14:textFill>
            <w14:solidFill>
              <w14:schemeClr w14:val="tx1"/>
            </w14:solidFill>
          </w14:textFill>
        </w:rPr>
      </w:pPr>
    </w:p>
    <w:p w14:paraId="49EF26EB">
      <w:pPr>
        <w:widowControl/>
        <w:snapToGrid w:val="0"/>
        <w:spacing w:line="300" w:lineRule="auto"/>
        <w:ind w:firstLine="440"/>
        <w:jc w:val="center"/>
        <w:rPr>
          <w:sz w:val="22"/>
          <w:highlight w:val="none"/>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1</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n</m:t>
              </m:r>
              <m:ctrlPr>
                <w:rPr>
                  <w:rFonts w:ascii="Cambria Math" w:hAnsi="Cambria Math"/>
                  <w:i/>
                  <w:color w:val="000000" w:themeColor="text1"/>
                  <w:sz w:val="22"/>
                  <w:highlight w:val="none"/>
                  <w14:textFill>
                    <w14:solidFill>
                      <w14:schemeClr w14:val="tx1"/>
                    </w14:solidFill>
                  </w14:textFill>
                </w:rPr>
              </m:ctrlPr>
            </m:den>
          </m:f>
          <m:d>
            <m:dPr>
              <m:ctrlPr>
                <w:rPr>
                  <w:rFonts w:ascii="Cambria Math" w:hAnsi="Cambria Math"/>
                  <w:i/>
                  <w:color w:val="000000" w:themeColor="text1"/>
                  <w:sz w:val="22"/>
                  <w:highlight w:val="none"/>
                  <w14:textFill>
                    <w14:solidFill>
                      <w14:schemeClr w14:val="tx1"/>
                    </w14:solidFill>
                  </w14:textFill>
                </w:rPr>
              </m:ctrlPr>
            </m:d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d>
          <m:r>
            <m:rPr/>
            <w:rPr>
              <w:rFonts w:ascii="Cambria Math" w:hAnsi="Cambria Math"/>
              <w:color w:val="000000" w:themeColor="text1"/>
              <w:sz w:val="22"/>
              <w:highlight w:val="none"/>
              <w14:textFill>
                <w14:solidFill>
                  <w14:schemeClr w14:val="tx1"/>
                </w14:solidFill>
              </w14:textFill>
            </w:rPr>
            <m:t>=</m:t>
          </m:r>
          <m:r>
            <m:rPr>
              <m:sty m:val="p"/>
            </m:rPr>
            <w:rPr>
              <w:rFonts w:ascii="Cambria Math" w:hAnsi="Cambria Math"/>
              <w:color w:val="000000"/>
              <w:szCs w:val="21"/>
              <w:highlight w:val="none"/>
            </w:rPr>
            <m:t>0</m:t>
          </m:r>
        </m:oMath>
      </m:oMathPara>
    </w:p>
    <w:p w14:paraId="5F318B07">
      <w:pPr>
        <w:widowControl/>
        <w:snapToGrid w:val="0"/>
        <w:spacing w:line="300" w:lineRule="auto"/>
        <w:ind w:firstLine="440"/>
        <w:jc w:val="center"/>
        <w:rPr>
          <w:color w:val="000000" w:themeColor="text1"/>
          <w:sz w:val="22"/>
          <w:highlight w:val="none"/>
          <w14:textFill>
            <w14:solidFill>
              <w14:schemeClr w14:val="tx1"/>
            </w14:solidFill>
          </w14:textFill>
        </w:rPr>
      </w:pPr>
    </w:p>
    <w:p w14:paraId="7E78B127">
      <w:pPr>
        <w:widowControl/>
        <w:snapToGrid w:val="0"/>
        <w:spacing w:line="300" w:lineRule="auto"/>
        <w:ind w:firstLine="440"/>
        <w:jc w:val="center"/>
        <w:rPr>
          <w:sz w:val="22"/>
          <w:highlight w:val="none"/>
        </w:rPr>
      </w:pPr>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m:sty m:val="p"/>
          </m:rPr>
          <w:rPr>
            <w:rFonts w:ascii="Cambria Math" w:hAnsi="Cambria Math"/>
            <w:color w:val="000000" w:themeColor="text1"/>
            <w:sz w:val="22"/>
            <w:highlight w:val="none"/>
            <w14:textFill>
              <w14:solidFill>
                <w14:schemeClr w14:val="tx1"/>
              </w14:solidFill>
            </w14:textFill>
          </w:rPr>
          <m:t>=</m:t>
        </m:r>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Sub>
      </m:oMath>
      <w:r>
        <w:rPr>
          <w:color w:val="000000" w:themeColor="text1"/>
          <w:sz w:val="22"/>
          <w:highlight w:val="none"/>
          <w14:textFill>
            <w14:solidFill>
              <w14:schemeClr w14:val="tx1"/>
            </w14:solidFill>
          </w14:textFill>
        </w:rPr>
        <w:t>=</w:t>
      </w:r>
      <w:r>
        <w:rPr>
          <w:color w:val="000000"/>
          <w:szCs w:val="21"/>
          <w:highlight w:val="none"/>
        </w:rPr>
        <w:t>0.15</w:t>
      </w:r>
    </w:p>
    <w:p w14:paraId="27CD828E">
      <w:pPr>
        <w:widowControl/>
        <w:snapToGrid w:val="0"/>
        <w:spacing w:line="300" w:lineRule="auto"/>
        <w:ind w:firstLine="440"/>
        <w:jc w:val="center"/>
        <w:rPr>
          <w:color w:val="000000" w:themeColor="text1"/>
          <w:sz w:val="22"/>
          <w:highlight w:val="none"/>
          <w14:textFill>
            <w14:solidFill>
              <w14:schemeClr w14:val="tx1"/>
            </w14:solidFill>
          </w14:textFill>
        </w:rPr>
      </w:pPr>
    </w:p>
    <w:p w14:paraId="787E7638">
      <w:pPr>
        <w:widowControl/>
        <w:snapToGrid w:val="0"/>
        <w:spacing w:line="300" w:lineRule="auto"/>
        <w:ind w:firstLine="440"/>
        <w:jc w:val="center"/>
        <w:rPr>
          <w:color w:val="000000" w:themeColor="text1"/>
          <w:sz w:val="22"/>
          <w:highlight w:val="none"/>
          <w14:textFill>
            <w14:solidFill>
              <w14:schemeClr w14:val="tx1"/>
            </w14:solidFill>
          </w14:textFill>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rD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=0.15</m:t>
          </m:r>
        </m:oMath>
      </m:oMathPara>
    </w:p>
    <w:p w14:paraId="0C620214">
      <w:pPr>
        <w:widowControl/>
        <w:snapToGrid w:val="0"/>
        <w:spacing w:line="300" w:lineRule="auto"/>
        <w:ind w:firstLine="440"/>
        <w:jc w:val="center"/>
        <w:rPr>
          <w:color w:val="000000" w:themeColor="text1"/>
          <w:sz w:val="22"/>
          <w:highlight w:val="none"/>
          <w14:textFill>
            <w14:solidFill>
              <w14:schemeClr w14:val="tx1"/>
            </w14:solidFill>
          </w14:textFill>
        </w:rPr>
      </w:pPr>
    </w:p>
    <w:p w14:paraId="04039809">
      <w:pPr>
        <w:widowControl/>
        <w:snapToGrid w:val="0"/>
        <w:spacing w:line="300" w:lineRule="auto"/>
        <w:ind w:firstLine="440"/>
        <w:jc w:val="center"/>
        <w:rPr>
          <w:color w:val="000000" w:themeColor="text1"/>
          <w:sz w:val="22"/>
          <w:highlight w:val="none"/>
          <w14:textFill>
            <w14:solidFill>
              <w14:schemeClr w14:val="tx1"/>
            </w14:solidFill>
          </w14:textFill>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R</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L</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=0.30</m:t>
          </m:r>
        </m:oMath>
      </m:oMathPara>
    </w:p>
    <w:p w14:paraId="64E4D477">
      <w:pPr>
        <w:widowControl/>
        <w:snapToGrid w:val="0"/>
        <w:spacing w:line="300" w:lineRule="auto"/>
        <w:ind w:firstLine="440"/>
        <w:jc w:val="center"/>
        <w:rPr>
          <w:i/>
          <w:color w:val="000000" w:themeColor="text1"/>
          <w:sz w:val="22"/>
          <w:highlight w:val="none"/>
          <w14:textFill>
            <w14:solidFill>
              <w14:schemeClr w14:val="tx1"/>
            </w14:solidFill>
          </w14:textFill>
        </w:rPr>
      </w:pPr>
    </w:p>
    <w:p w14:paraId="2B7759B5">
      <w:pPr>
        <w:widowControl/>
        <w:snapToGrid w:val="0"/>
        <w:spacing w:line="300" w:lineRule="auto"/>
        <w:ind w:firstLine="440"/>
        <w:jc w:val="center"/>
        <w:rPr>
          <w:sz w:val="22"/>
          <w:highlight w:val="none"/>
        </w:rPr>
      </w:pPr>
      <w:r>
        <w:rPr>
          <w:i/>
          <w:color w:val="000000" w:themeColor="text1"/>
          <w:sz w:val="22"/>
          <w:highlight w:val="none"/>
          <w14:textFill>
            <w14:solidFill>
              <w14:schemeClr w14:val="tx1"/>
            </w14:solidFill>
          </w14:textFill>
        </w:rPr>
        <w:t>r</w:t>
      </w:r>
      <w:r>
        <w:rPr>
          <w:color w:val="000000" w:themeColor="text1"/>
          <w:sz w:val="22"/>
          <w:highlight w:val="none"/>
          <w14:textFill>
            <w14:solidFill>
              <w14:schemeClr w14:val="tx1"/>
            </w14:solidFill>
          </w14:textFill>
        </w:rPr>
        <w:t>=</w:t>
      </w:r>
      <w:r>
        <w:rPr>
          <w:sz w:val="22"/>
          <w:highlight w:val="none"/>
        </w:rPr>
        <w:t>2.83</w:t>
      </w:r>
      <w:r>
        <w:rPr>
          <w:i/>
          <w:color w:val="000000" w:themeColor="text1"/>
          <w:sz w:val="22"/>
          <w:highlight w:val="none"/>
          <w14:textFill>
            <w14:solidFill>
              <w14:schemeClr w14:val="tx1"/>
            </w14:solidFill>
          </w14:textFill>
        </w:rPr>
        <w:t>σ</w:t>
      </w:r>
      <w:r>
        <w:rPr>
          <w:color w:val="000000" w:themeColor="text1"/>
          <w:sz w:val="22"/>
          <w:highlight w:val="none"/>
          <w:vertAlign w:val="subscript"/>
          <w14:textFill>
            <w14:solidFill>
              <w14:schemeClr w14:val="tx1"/>
            </w14:solidFill>
          </w14:textFill>
        </w:rPr>
        <w:t>M</w:t>
      </w:r>
      <w:r>
        <w:rPr>
          <w:color w:val="000000" w:themeColor="text1"/>
          <w:sz w:val="22"/>
          <w:highlight w:val="none"/>
          <w14:textFill>
            <w14:solidFill>
              <w14:schemeClr w14:val="tx1"/>
            </w14:solidFill>
          </w14:textFill>
        </w:rPr>
        <w:t>=</w:t>
      </w:r>
      <w:r>
        <w:rPr>
          <w:sz w:val="22"/>
          <w:highlight w:val="none"/>
        </w:rPr>
        <w:t>2.83</w:t>
      </w:r>
      <m:oMath>
        <m:r>
          <m:rPr>
            <m:sty m:val="p"/>
          </m:rPr>
          <w:rPr>
            <w:rFonts w:ascii="Cambria Math" w:hAnsi="Cambria Math"/>
            <w:sz w:val="22"/>
            <w:highlight w:val="none"/>
          </w:rPr>
          <m:t>×0.39</m:t>
        </m:r>
      </m:oMath>
      <w:r>
        <w:rPr>
          <w:color w:val="000000" w:themeColor="text1"/>
          <w:sz w:val="22"/>
          <w:highlight w:val="none"/>
          <w14:textFill>
            <w14:solidFill>
              <w14:schemeClr w14:val="tx1"/>
            </w14:solidFill>
          </w14:textFill>
        </w:rPr>
        <w:t>=1.10</w:t>
      </w:r>
    </w:p>
    <w:p w14:paraId="351CB638">
      <w:pPr>
        <w:widowControl/>
        <w:snapToGrid w:val="0"/>
        <w:spacing w:line="300" w:lineRule="auto"/>
        <w:ind w:firstLine="440"/>
        <w:jc w:val="center"/>
        <w:rPr>
          <w:i/>
          <w:color w:val="000000" w:themeColor="text1"/>
          <w:sz w:val="22"/>
          <w:highlight w:val="none"/>
          <w14:textFill>
            <w14:solidFill>
              <w14:schemeClr w14:val="tx1"/>
            </w14:solidFill>
          </w14:textFill>
        </w:rPr>
      </w:pPr>
    </w:p>
    <w:p w14:paraId="7EB98417">
      <w:pPr>
        <w:widowControl/>
        <w:snapToGrid w:val="0"/>
        <w:spacing w:line="300" w:lineRule="auto"/>
        <w:ind w:firstLine="440"/>
        <w:jc w:val="center"/>
        <w:rPr>
          <w:color w:val="000000" w:themeColor="text1"/>
          <w:sz w:val="22"/>
          <w:highlight w:val="none"/>
          <w14:textFill>
            <w14:solidFill>
              <w14:schemeClr w14:val="tx1"/>
            </w14:solidFill>
          </w14:textFill>
        </w:rPr>
      </w:pPr>
      <w:r>
        <w:rPr>
          <w:i/>
          <w:color w:val="000000" w:themeColor="text1"/>
          <w:sz w:val="22"/>
          <w:highlight w:val="none"/>
          <w14:textFill>
            <w14:solidFill>
              <w14:schemeClr w14:val="tx1"/>
            </w14:solidFill>
          </w14:textFill>
        </w:rPr>
        <w:t>r</w:t>
      </w:r>
      <w:r>
        <w:rPr>
          <w:color w:val="000000" w:themeColor="text1"/>
          <w:sz w:val="22"/>
          <w:highlight w:val="none"/>
          <w:vertAlign w:val="subscript"/>
          <w14:textFill>
            <w14:solidFill>
              <w14:schemeClr w14:val="tx1"/>
            </w14:solidFill>
          </w14:textFill>
        </w:rPr>
        <w:t>D</w:t>
      </w:r>
      <w:r>
        <w:rPr>
          <w:color w:val="000000" w:themeColor="text1"/>
          <w:sz w:val="22"/>
          <w:highlight w:val="none"/>
          <w14:textFill>
            <w14:solidFill>
              <w14:schemeClr w14:val="tx1"/>
            </w14:solidFill>
          </w14:textFill>
        </w:rPr>
        <w:t>=</w:t>
      </w:r>
      <w:r>
        <w:rPr>
          <w:sz w:val="22"/>
          <w:highlight w:val="none"/>
        </w:rPr>
        <w:t>2.83</w:t>
      </w:r>
      <w:r>
        <w:rPr>
          <w:i/>
          <w:color w:val="000000" w:themeColor="text1"/>
          <w:sz w:val="22"/>
          <w:highlight w:val="none"/>
          <w14:textFill>
            <w14:solidFill>
              <w14:schemeClr w14:val="tx1"/>
            </w14:solidFill>
          </w14:textFill>
        </w:rPr>
        <w:t>s</w:t>
      </w:r>
      <w:r>
        <w:rPr>
          <w:color w:val="000000" w:themeColor="text1"/>
          <w:sz w:val="22"/>
          <w:highlight w:val="none"/>
          <w:vertAlign w:val="subscript"/>
          <w14:textFill>
            <w14:solidFill>
              <w14:schemeClr w14:val="tx1"/>
            </w14:solidFill>
          </w14:textFill>
        </w:rPr>
        <w:t>rD</w:t>
      </w:r>
      <w:r>
        <w:rPr>
          <w:color w:val="000000" w:themeColor="text1"/>
          <w:sz w:val="22"/>
          <w:highlight w:val="none"/>
          <w14:textFill>
            <w14:solidFill>
              <w14:schemeClr w14:val="tx1"/>
            </w14:solidFill>
          </w14:textFill>
        </w:rPr>
        <w:t>=</w:t>
      </w:r>
      <w:r>
        <w:rPr>
          <w:sz w:val="22"/>
          <w:highlight w:val="none"/>
        </w:rPr>
        <w:t>2.83</w:t>
      </w:r>
      <m:oMath>
        <m:r>
          <m:rPr>
            <m:sty m:val="p"/>
          </m:rPr>
          <w:rPr>
            <w:rFonts w:ascii="Cambria Math" w:hAnsi="Cambria Math"/>
            <w:sz w:val="22"/>
            <w:highlight w:val="none"/>
          </w:rPr>
          <m:t xml:space="preserve">×0.39 </m:t>
        </m:r>
      </m:oMath>
      <w:r>
        <w:rPr>
          <w:color w:val="000000" w:themeColor="text1"/>
          <w:sz w:val="22"/>
          <w:highlight w:val="none"/>
          <w14:textFill>
            <w14:solidFill>
              <w14:schemeClr w14:val="tx1"/>
            </w14:solidFill>
          </w14:textFill>
        </w:rPr>
        <w:t>=1.10</w:t>
      </w:r>
    </w:p>
    <w:p w14:paraId="79D9972F">
      <w:pPr>
        <w:widowControl/>
        <w:snapToGrid w:val="0"/>
        <w:spacing w:line="300" w:lineRule="auto"/>
        <w:ind w:firstLine="440"/>
        <w:jc w:val="center"/>
        <w:rPr>
          <w:i/>
          <w:color w:val="000000" w:themeColor="text1"/>
          <w:sz w:val="22"/>
          <w:highlight w:val="none"/>
          <w14:textFill>
            <w14:solidFill>
              <w14:schemeClr w14:val="tx1"/>
            </w14:solidFill>
          </w14:textFill>
        </w:rPr>
      </w:pPr>
    </w:p>
    <w:p w14:paraId="3C74939E">
      <w:pPr>
        <w:widowControl/>
        <w:snapToGrid w:val="0"/>
        <w:spacing w:line="300" w:lineRule="auto"/>
        <w:ind w:firstLine="440"/>
        <w:jc w:val="center"/>
        <w:rPr>
          <w:highlight w:val="none"/>
        </w:rPr>
      </w:pPr>
      <w:r>
        <w:rPr>
          <w:i/>
          <w:color w:val="000000" w:themeColor="text1"/>
          <w:sz w:val="22"/>
          <w:highlight w:val="none"/>
          <w14:textFill>
            <w14:solidFill>
              <w14:schemeClr w14:val="tx1"/>
            </w14:solidFill>
          </w14:textFill>
        </w:rPr>
        <w:t>R</w:t>
      </w:r>
      <w:r>
        <w:rPr>
          <w:b/>
          <w:color w:val="000000" w:themeColor="text1"/>
          <w:sz w:val="22"/>
          <w:highlight w:val="none"/>
          <w14:textFill>
            <w14:solidFill>
              <w14:schemeClr w14:val="tx1"/>
            </w14:solidFill>
          </w14:textFill>
        </w:rPr>
        <w:t>=</w:t>
      </w:r>
      <w:r>
        <w:rPr>
          <w:sz w:val="22"/>
          <w:highlight w:val="none"/>
        </w:rPr>
        <w:t>2.83</w:t>
      </w:r>
      <w:r>
        <w:rPr>
          <w:i/>
          <w:color w:val="000000" w:themeColor="text1"/>
          <w:sz w:val="22"/>
          <w:highlight w:val="none"/>
          <w14:textFill>
            <w14:solidFill>
              <w14:schemeClr w14:val="tx1"/>
            </w14:solidFill>
          </w14:textFill>
        </w:rPr>
        <w:t>s</w:t>
      </w:r>
      <w:r>
        <w:rPr>
          <w:color w:val="000000" w:themeColor="text1"/>
          <w:sz w:val="22"/>
          <w:highlight w:val="none"/>
          <w:vertAlign w:val="subscript"/>
          <w14:textFill>
            <w14:solidFill>
              <w14:schemeClr w14:val="tx1"/>
            </w14:solidFill>
          </w14:textFill>
        </w:rPr>
        <w:t>R</w:t>
      </w:r>
      <w:r>
        <w:rPr>
          <w:color w:val="000000" w:themeColor="text1"/>
          <w:sz w:val="22"/>
          <w:highlight w:val="none"/>
          <w14:textFill>
            <w14:solidFill>
              <w14:schemeClr w14:val="tx1"/>
            </w14:solidFill>
          </w14:textFill>
        </w:rPr>
        <w:t>=</w:t>
      </w:r>
      <w:r>
        <w:rPr>
          <w:sz w:val="22"/>
          <w:highlight w:val="none"/>
        </w:rPr>
        <w:t>2.83</w:t>
      </w:r>
      <m:oMath>
        <m:r>
          <m:rPr>
            <m:sty m:val="p"/>
          </m:rPr>
          <w:rPr>
            <w:rFonts w:ascii="Cambria Math" w:hAnsi="Cambria Math"/>
            <w:sz w:val="22"/>
            <w:highlight w:val="none"/>
          </w:rPr>
          <m:t>×</m:t>
        </m:r>
        <m:r>
          <m:rPr/>
          <w:rPr>
            <w:rFonts w:ascii="Cambria Math" w:hAnsi="Cambria Math"/>
            <w:color w:val="000000" w:themeColor="text1"/>
            <w:sz w:val="22"/>
            <w:highlight w:val="none"/>
            <w14:textFill>
              <w14:solidFill>
                <w14:schemeClr w14:val="tx1"/>
              </w14:solidFill>
            </w14:textFill>
          </w:rPr>
          <m:t>0.55</m:t>
        </m:r>
      </m:oMath>
      <w:r>
        <w:rPr>
          <w:sz w:val="22"/>
          <w:highlight w:val="none"/>
        </w:rPr>
        <w:t>=1.56</w:t>
      </w:r>
    </w:p>
    <w:p w14:paraId="6581166F">
      <w:pPr>
        <w:widowControl/>
        <w:snapToGrid w:val="0"/>
        <w:spacing w:line="300" w:lineRule="auto"/>
        <w:ind w:firstLine="440"/>
        <w:jc w:val="center"/>
        <w:rPr>
          <w:highlight w:val="none"/>
        </w:rPr>
      </w:pPr>
    </w:p>
    <w:p w14:paraId="54192E03">
      <w:pPr>
        <w:jc w:val="center"/>
        <w:rPr>
          <w:rFonts w:eastAsia="黑体"/>
          <w:bCs/>
          <w:highlight w:val="none"/>
        </w:rPr>
      </w:pPr>
      <w:r>
        <w:rPr>
          <w:rFonts w:eastAsia="黑体"/>
          <w:bCs/>
          <w:highlight w:val="none"/>
        </w:rPr>
        <w:t>表</w:t>
      </w:r>
      <w:r>
        <w:rPr>
          <w:rFonts w:hint="eastAsia" w:eastAsia="黑体"/>
          <w:bCs/>
          <w:highlight w:val="none"/>
        </w:rPr>
        <w:t xml:space="preserve">11 </w:t>
      </w:r>
      <w:r>
        <w:rPr>
          <w:rFonts w:eastAsia="黑体"/>
          <w:bCs/>
          <w:highlight w:val="none"/>
        </w:rPr>
        <w:t>样品C的 ITP结果和补充统计数据（方法A）</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326"/>
        <w:gridCol w:w="1326"/>
        <w:gridCol w:w="1326"/>
        <w:gridCol w:w="1328"/>
        <w:gridCol w:w="1328"/>
        <w:gridCol w:w="1326"/>
      </w:tblGrid>
      <w:tr w14:paraId="7FF1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437D619B">
            <w:pPr>
              <w:jc w:val="center"/>
              <w:rPr>
                <w:highlight w:val="none"/>
              </w:rPr>
            </w:pPr>
            <w:r>
              <w:rPr>
                <w:rFonts w:hint="eastAsia" w:eastAsia="仿宋"/>
                <w:kern w:val="0"/>
                <w:szCs w:val="21"/>
                <w:highlight w:val="none"/>
              </w:rPr>
              <w:t>实验室</w:t>
            </w:r>
            <w:r>
              <w:rPr>
                <w:rFonts w:eastAsia="仿宋"/>
                <w:kern w:val="0"/>
                <w:szCs w:val="21"/>
                <w:highlight w:val="none"/>
              </w:rPr>
              <w:t>p,p=7</w:t>
            </w:r>
          </w:p>
        </w:tc>
        <w:tc>
          <w:tcPr>
            <w:tcW w:w="714" w:type="pct"/>
            <w:vMerge w:val="restart"/>
            <w:vAlign w:val="center"/>
          </w:tcPr>
          <w:p w14:paraId="4318E92B">
            <w:pPr>
              <w:jc w:val="center"/>
              <w:rPr>
                <w:rFonts w:eastAsiaTheme="minorEastAsia"/>
                <w:szCs w:val="21"/>
                <w:highlight w:val="none"/>
              </w:rPr>
            </w:pPr>
            <w:r>
              <w:rPr>
                <w:rFonts w:hint="eastAsia" w:eastAsia="仿宋"/>
                <w:kern w:val="0"/>
                <w:szCs w:val="21"/>
                <w:highlight w:val="none"/>
              </w:rPr>
              <w:t>天</w:t>
            </w:r>
            <w:r>
              <w:rPr>
                <w:rFonts w:eastAsia="仿宋"/>
                <w:kern w:val="0"/>
                <w:szCs w:val="21"/>
                <w:highlight w:val="none"/>
              </w:rPr>
              <w:t>q</w:t>
            </w:r>
            <w:r>
              <w:rPr>
                <w:rFonts w:hint="eastAsia" w:eastAsia="仿宋"/>
                <w:kern w:val="0"/>
                <w:szCs w:val="21"/>
                <w:highlight w:val="none"/>
              </w:rPr>
              <w:t>，</w:t>
            </w:r>
            <w:r>
              <w:rPr>
                <w:rFonts w:eastAsia="仿宋"/>
                <w:kern w:val="0"/>
                <w:szCs w:val="21"/>
                <w:highlight w:val="none"/>
              </w:rPr>
              <w:t>q=2</w:t>
            </w:r>
          </w:p>
        </w:tc>
        <w:tc>
          <w:tcPr>
            <w:tcW w:w="2143" w:type="pct"/>
            <w:gridSpan w:val="3"/>
          </w:tcPr>
          <w:p w14:paraId="62315910">
            <w:pPr>
              <w:jc w:val="center"/>
              <w:rPr>
                <w:rFonts w:eastAsiaTheme="minorEastAsia"/>
                <w:szCs w:val="21"/>
                <w:highlight w:val="none"/>
              </w:rPr>
            </w:pPr>
            <w:r>
              <w:rPr>
                <w:rFonts w:eastAsiaTheme="minorEastAsia"/>
                <w:szCs w:val="21"/>
                <w:highlight w:val="none"/>
              </w:rPr>
              <w:t>试验结果</w:t>
            </w:r>
          </w:p>
        </w:tc>
        <w:tc>
          <w:tcPr>
            <w:tcW w:w="715" w:type="pct"/>
            <w:vAlign w:val="center"/>
          </w:tcPr>
          <w:p w14:paraId="054C9D92">
            <w:pPr>
              <w:jc w:val="center"/>
              <w:rPr>
                <w:rFonts w:eastAsiaTheme="minorEastAsia"/>
                <w:szCs w:val="21"/>
                <w:highlight w:val="none"/>
              </w:rPr>
            </w:pPr>
            <w:r>
              <w:rPr>
                <w:rFonts w:eastAsiaTheme="minorEastAsia"/>
                <w:szCs w:val="21"/>
                <w:highlight w:val="none"/>
              </w:rPr>
              <w:t>数据总和</w:t>
            </w:r>
          </w:p>
        </w:tc>
        <w:tc>
          <w:tcPr>
            <w:tcW w:w="714" w:type="pct"/>
            <w:vAlign w:val="center"/>
          </w:tcPr>
          <w:p w14:paraId="31FDD4AB">
            <w:pPr>
              <w:jc w:val="center"/>
              <w:rPr>
                <w:rFonts w:eastAsiaTheme="minorEastAsia"/>
                <w:szCs w:val="21"/>
                <w:highlight w:val="none"/>
              </w:rPr>
            </w:pPr>
            <w:r>
              <w:rPr>
                <w:rFonts w:eastAsiaTheme="minorEastAsia"/>
                <w:szCs w:val="21"/>
                <w:highlight w:val="none"/>
              </w:rPr>
              <w:t>天总和</w:t>
            </w:r>
          </w:p>
        </w:tc>
      </w:tr>
      <w:tr w14:paraId="23915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tcPr>
          <w:p w14:paraId="39DFA789">
            <w:pPr>
              <w:jc w:val="center"/>
              <w:rPr>
                <w:highlight w:val="none"/>
              </w:rPr>
            </w:pPr>
          </w:p>
        </w:tc>
        <w:tc>
          <w:tcPr>
            <w:tcW w:w="714" w:type="pct"/>
            <w:vMerge w:val="continue"/>
          </w:tcPr>
          <w:p w14:paraId="0E6B55A7">
            <w:pPr>
              <w:jc w:val="center"/>
              <w:rPr>
                <w:rFonts w:eastAsiaTheme="minorEastAsia"/>
                <w:szCs w:val="21"/>
                <w:highlight w:val="none"/>
              </w:rPr>
            </w:pPr>
          </w:p>
        </w:tc>
        <w:tc>
          <w:tcPr>
            <w:tcW w:w="714" w:type="pct"/>
          </w:tcPr>
          <w:p w14:paraId="379535A3">
            <w:pPr>
              <w:jc w:val="center"/>
              <w:rPr>
                <w:rFonts w:eastAsiaTheme="minorEastAsia"/>
                <w:szCs w:val="21"/>
                <w:highlight w:val="none"/>
              </w:rPr>
            </w:pPr>
            <w:r>
              <w:rPr>
                <w:rFonts w:eastAsiaTheme="minorEastAsia"/>
                <w:szCs w:val="21"/>
                <w:highlight w:val="none"/>
              </w:rPr>
              <w:t>M1</w:t>
            </w:r>
          </w:p>
        </w:tc>
        <w:tc>
          <w:tcPr>
            <w:tcW w:w="714" w:type="pct"/>
          </w:tcPr>
          <w:p w14:paraId="5FBACDEC">
            <w:pPr>
              <w:jc w:val="center"/>
              <w:rPr>
                <w:rFonts w:eastAsiaTheme="minorEastAsia"/>
                <w:szCs w:val="21"/>
                <w:highlight w:val="none"/>
              </w:rPr>
            </w:pPr>
            <w:r>
              <w:rPr>
                <w:rFonts w:eastAsiaTheme="minorEastAsia"/>
                <w:szCs w:val="21"/>
                <w:highlight w:val="none"/>
              </w:rPr>
              <w:t>M2</w:t>
            </w:r>
          </w:p>
        </w:tc>
        <w:tc>
          <w:tcPr>
            <w:tcW w:w="715" w:type="pct"/>
          </w:tcPr>
          <w:p w14:paraId="0D2AFEF7">
            <w:pPr>
              <w:jc w:val="center"/>
              <w:rPr>
                <w:rFonts w:eastAsiaTheme="minorEastAsia"/>
                <w:szCs w:val="21"/>
                <w:highlight w:val="none"/>
              </w:rPr>
            </w:pPr>
            <w:r>
              <w:rPr>
                <w:rFonts w:eastAsiaTheme="minorEastAsia"/>
                <w:szCs w:val="21"/>
                <w:highlight w:val="none"/>
              </w:rPr>
              <w:t>M3</w:t>
            </w:r>
          </w:p>
        </w:tc>
        <w:tc>
          <w:tcPr>
            <w:tcW w:w="715" w:type="pct"/>
            <w:vAlign w:val="center"/>
          </w:tcPr>
          <w:p w14:paraId="2CBEE325">
            <w:pPr>
              <w:jc w:val="center"/>
              <w:rPr>
                <w:rFonts w:eastAsiaTheme="minorEastAsia"/>
                <w:szCs w:val="21"/>
                <w:highlight w:val="none"/>
              </w:rPr>
            </w:pPr>
            <w:r>
              <w:rPr>
                <w:rFonts w:eastAsiaTheme="minorEastAsia"/>
                <w:i/>
                <w:szCs w:val="21"/>
                <w:highlight w:val="none"/>
              </w:rPr>
              <w:t>T</w:t>
            </w:r>
            <w:r>
              <w:rPr>
                <w:rFonts w:eastAsiaTheme="minorEastAsia"/>
                <w:szCs w:val="21"/>
                <w:highlight w:val="none"/>
                <w:vertAlign w:val="subscript"/>
              </w:rPr>
              <w:t>ij.</w:t>
            </w:r>
          </w:p>
        </w:tc>
        <w:tc>
          <w:tcPr>
            <w:tcW w:w="714" w:type="pct"/>
            <w:vAlign w:val="center"/>
          </w:tcPr>
          <w:p w14:paraId="64F3CC05">
            <w:pPr>
              <w:jc w:val="center"/>
              <w:rPr>
                <w:rFonts w:eastAsiaTheme="minorEastAsia"/>
                <w:szCs w:val="21"/>
                <w:highlight w:val="none"/>
              </w:rPr>
            </w:pPr>
            <w:r>
              <w:rPr>
                <w:rFonts w:eastAsiaTheme="minorEastAsia"/>
                <w:i/>
                <w:szCs w:val="21"/>
                <w:highlight w:val="none"/>
              </w:rPr>
              <w:t>T</w:t>
            </w:r>
            <w:r>
              <w:rPr>
                <w:rFonts w:eastAsiaTheme="minorEastAsia"/>
                <w:szCs w:val="21"/>
                <w:highlight w:val="none"/>
                <w:vertAlign w:val="subscript"/>
              </w:rPr>
              <w:t>i..</w:t>
            </w:r>
          </w:p>
        </w:tc>
      </w:tr>
      <w:tr w14:paraId="7715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02534670">
            <w:pPr>
              <w:jc w:val="center"/>
              <w:rPr>
                <w:rFonts w:hint="eastAsia" w:eastAsiaTheme="minorEastAsia"/>
                <w:szCs w:val="21"/>
                <w:highlight w:val="none"/>
                <w:lang w:eastAsia="zh-CN"/>
              </w:rPr>
            </w:pPr>
            <w:r>
              <w:rPr>
                <w:rFonts w:hint="eastAsia" w:eastAsiaTheme="minorEastAsia"/>
                <w:szCs w:val="21"/>
                <w:highlight w:val="none"/>
                <w:lang w:val="en-US" w:eastAsia="zh-CN"/>
              </w:rPr>
              <w:t>1</w:t>
            </w:r>
          </w:p>
        </w:tc>
        <w:tc>
          <w:tcPr>
            <w:tcW w:w="1326" w:type="dxa"/>
            <w:vAlign w:val="center"/>
          </w:tcPr>
          <w:p w14:paraId="511936D5">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356689E7">
            <w:pPr>
              <w:jc w:val="center"/>
              <w:rPr>
                <w:rFonts w:eastAsiaTheme="minorEastAsia"/>
                <w:color w:val="000000"/>
                <w:szCs w:val="21"/>
                <w:highlight w:val="none"/>
              </w:rPr>
            </w:pPr>
            <w:r>
              <w:rPr>
                <w:color w:val="000000"/>
                <w:szCs w:val="21"/>
                <w:highlight w:val="none"/>
              </w:rPr>
              <w:t>14.1</w:t>
            </w:r>
          </w:p>
        </w:tc>
        <w:tc>
          <w:tcPr>
            <w:tcW w:w="714" w:type="pct"/>
            <w:vAlign w:val="center"/>
          </w:tcPr>
          <w:p w14:paraId="7549774E">
            <w:pPr>
              <w:jc w:val="center"/>
              <w:rPr>
                <w:rFonts w:eastAsiaTheme="minorEastAsia"/>
                <w:color w:val="000000"/>
                <w:szCs w:val="21"/>
                <w:highlight w:val="none"/>
              </w:rPr>
            </w:pPr>
            <w:r>
              <w:rPr>
                <w:color w:val="000000"/>
                <w:szCs w:val="21"/>
                <w:highlight w:val="none"/>
              </w:rPr>
              <w:t>14.8</w:t>
            </w:r>
          </w:p>
        </w:tc>
        <w:tc>
          <w:tcPr>
            <w:tcW w:w="715" w:type="pct"/>
            <w:vAlign w:val="center"/>
          </w:tcPr>
          <w:p w14:paraId="02041496">
            <w:pPr>
              <w:jc w:val="center"/>
              <w:rPr>
                <w:rFonts w:eastAsiaTheme="minorEastAsia"/>
                <w:color w:val="000000"/>
                <w:szCs w:val="21"/>
                <w:highlight w:val="none"/>
              </w:rPr>
            </w:pPr>
            <w:r>
              <w:rPr>
                <w:color w:val="000000"/>
                <w:szCs w:val="21"/>
                <w:highlight w:val="none"/>
              </w:rPr>
              <w:t>14.5</w:t>
            </w:r>
          </w:p>
        </w:tc>
        <w:tc>
          <w:tcPr>
            <w:tcW w:w="715" w:type="pct"/>
            <w:vAlign w:val="center"/>
          </w:tcPr>
          <w:p w14:paraId="270DA7E2">
            <w:pPr>
              <w:jc w:val="center"/>
              <w:rPr>
                <w:rFonts w:eastAsiaTheme="minorEastAsia"/>
                <w:color w:val="000000"/>
                <w:szCs w:val="21"/>
                <w:highlight w:val="none"/>
              </w:rPr>
            </w:pPr>
            <w:r>
              <w:rPr>
                <w:color w:val="000000"/>
                <w:szCs w:val="21"/>
                <w:highlight w:val="none"/>
              </w:rPr>
              <w:t>43.4</w:t>
            </w:r>
          </w:p>
        </w:tc>
        <w:tc>
          <w:tcPr>
            <w:tcW w:w="714" w:type="pct"/>
            <w:vMerge w:val="restart"/>
            <w:vAlign w:val="center"/>
          </w:tcPr>
          <w:p w14:paraId="46B53A66">
            <w:pPr>
              <w:jc w:val="center"/>
              <w:rPr>
                <w:rFonts w:eastAsiaTheme="minorEastAsia"/>
                <w:color w:val="000000"/>
                <w:szCs w:val="21"/>
                <w:highlight w:val="none"/>
              </w:rPr>
            </w:pPr>
            <w:r>
              <w:rPr>
                <w:color w:val="000000"/>
                <w:szCs w:val="21"/>
                <w:highlight w:val="none"/>
              </w:rPr>
              <w:t>89.2</w:t>
            </w:r>
          </w:p>
        </w:tc>
      </w:tr>
      <w:tr w14:paraId="750BB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79FE8B4C">
            <w:pPr>
              <w:jc w:val="center"/>
              <w:rPr>
                <w:rFonts w:eastAsiaTheme="minorEastAsia"/>
                <w:highlight w:val="none"/>
              </w:rPr>
            </w:pPr>
          </w:p>
        </w:tc>
        <w:tc>
          <w:tcPr>
            <w:tcW w:w="1326" w:type="dxa"/>
            <w:vAlign w:val="center"/>
          </w:tcPr>
          <w:p w14:paraId="099DD312">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3BB2A467">
            <w:pPr>
              <w:jc w:val="center"/>
              <w:rPr>
                <w:rFonts w:eastAsiaTheme="minorEastAsia"/>
                <w:color w:val="000000"/>
                <w:szCs w:val="21"/>
                <w:highlight w:val="none"/>
              </w:rPr>
            </w:pPr>
            <w:r>
              <w:rPr>
                <w:color w:val="000000"/>
                <w:szCs w:val="21"/>
                <w:highlight w:val="none"/>
              </w:rPr>
              <w:t>15.1</w:t>
            </w:r>
          </w:p>
        </w:tc>
        <w:tc>
          <w:tcPr>
            <w:tcW w:w="714" w:type="pct"/>
            <w:vAlign w:val="center"/>
          </w:tcPr>
          <w:p w14:paraId="0AFA55F0">
            <w:pPr>
              <w:jc w:val="center"/>
              <w:rPr>
                <w:rFonts w:eastAsiaTheme="minorEastAsia"/>
                <w:color w:val="000000"/>
                <w:szCs w:val="21"/>
                <w:highlight w:val="none"/>
              </w:rPr>
            </w:pPr>
            <w:r>
              <w:rPr>
                <w:color w:val="000000"/>
                <w:szCs w:val="21"/>
                <w:highlight w:val="none"/>
              </w:rPr>
              <w:t>15.3</w:t>
            </w:r>
          </w:p>
        </w:tc>
        <w:tc>
          <w:tcPr>
            <w:tcW w:w="715" w:type="pct"/>
            <w:vAlign w:val="center"/>
          </w:tcPr>
          <w:p w14:paraId="533BAEBD">
            <w:pPr>
              <w:jc w:val="center"/>
              <w:rPr>
                <w:rFonts w:eastAsiaTheme="minorEastAsia"/>
                <w:color w:val="000000"/>
                <w:szCs w:val="21"/>
                <w:highlight w:val="none"/>
              </w:rPr>
            </w:pPr>
            <w:r>
              <w:rPr>
                <w:color w:val="000000"/>
                <w:szCs w:val="21"/>
                <w:highlight w:val="none"/>
              </w:rPr>
              <w:t>15.4</w:t>
            </w:r>
          </w:p>
        </w:tc>
        <w:tc>
          <w:tcPr>
            <w:tcW w:w="715" w:type="pct"/>
            <w:vAlign w:val="center"/>
          </w:tcPr>
          <w:p w14:paraId="35185755">
            <w:pPr>
              <w:jc w:val="center"/>
              <w:rPr>
                <w:rFonts w:eastAsiaTheme="minorEastAsia"/>
                <w:color w:val="000000"/>
                <w:szCs w:val="21"/>
                <w:highlight w:val="none"/>
              </w:rPr>
            </w:pPr>
            <w:r>
              <w:rPr>
                <w:color w:val="000000"/>
                <w:szCs w:val="21"/>
                <w:highlight w:val="none"/>
              </w:rPr>
              <w:t>45.8</w:t>
            </w:r>
          </w:p>
        </w:tc>
        <w:tc>
          <w:tcPr>
            <w:tcW w:w="714" w:type="pct"/>
            <w:vMerge w:val="continue"/>
            <w:vAlign w:val="center"/>
          </w:tcPr>
          <w:p w14:paraId="7E0C5ECE">
            <w:pPr>
              <w:jc w:val="center"/>
              <w:rPr>
                <w:rFonts w:eastAsiaTheme="minorEastAsia"/>
                <w:szCs w:val="21"/>
                <w:highlight w:val="none"/>
              </w:rPr>
            </w:pPr>
          </w:p>
        </w:tc>
      </w:tr>
      <w:tr w14:paraId="31A5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0BA37FBA">
            <w:pPr>
              <w:jc w:val="center"/>
              <w:rPr>
                <w:rFonts w:hint="eastAsia" w:eastAsiaTheme="minorEastAsia"/>
                <w:szCs w:val="21"/>
                <w:highlight w:val="none"/>
                <w:lang w:eastAsia="zh-CN"/>
              </w:rPr>
            </w:pPr>
            <w:r>
              <w:rPr>
                <w:rFonts w:hint="eastAsia" w:eastAsiaTheme="minorEastAsia"/>
                <w:szCs w:val="21"/>
                <w:highlight w:val="none"/>
                <w:lang w:val="en-US" w:eastAsia="zh-CN"/>
              </w:rPr>
              <w:t>2</w:t>
            </w:r>
          </w:p>
        </w:tc>
        <w:tc>
          <w:tcPr>
            <w:tcW w:w="1326" w:type="dxa"/>
            <w:vAlign w:val="center"/>
          </w:tcPr>
          <w:p w14:paraId="7970DEA2">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09ED5CD0">
            <w:pPr>
              <w:jc w:val="center"/>
              <w:rPr>
                <w:rFonts w:eastAsiaTheme="minorEastAsia"/>
                <w:color w:val="000000"/>
                <w:szCs w:val="21"/>
                <w:highlight w:val="none"/>
              </w:rPr>
            </w:pPr>
            <w:r>
              <w:rPr>
                <w:color w:val="000000"/>
                <w:szCs w:val="21"/>
                <w:highlight w:val="none"/>
              </w:rPr>
              <w:t>9.2</w:t>
            </w:r>
          </w:p>
        </w:tc>
        <w:tc>
          <w:tcPr>
            <w:tcW w:w="714" w:type="pct"/>
            <w:vAlign w:val="center"/>
          </w:tcPr>
          <w:p w14:paraId="2D665640">
            <w:pPr>
              <w:jc w:val="center"/>
              <w:rPr>
                <w:rFonts w:eastAsiaTheme="minorEastAsia"/>
                <w:color w:val="000000"/>
                <w:szCs w:val="21"/>
                <w:highlight w:val="none"/>
              </w:rPr>
            </w:pPr>
            <w:r>
              <w:rPr>
                <w:color w:val="000000"/>
                <w:szCs w:val="21"/>
                <w:highlight w:val="none"/>
              </w:rPr>
              <w:t>9.3</w:t>
            </w:r>
          </w:p>
        </w:tc>
        <w:tc>
          <w:tcPr>
            <w:tcW w:w="715" w:type="pct"/>
            <w:vAlign w:val="center"/>
          </w:tcPr>
          <w:p w14:paraId="7818ED0E">
            <w:pPr>
              <w:jc w:val="center"/>
              <w:rPr>
                <w:rFonts w:eastAsiaTheme="minorEastAsia"/>
                <w:color w:val="000000"/>
                <w:szCs w:val="21"/>
                <w:highlight w:val="none"/>
              </w:rPr>
            </w:pPr>
            <w:r>
              <w:rPr>
                <w:color w:val="000000"/>
                <w:szCs w:val="21"/>
                <w:highlight w:val="none"/>
              </w:rPr>
              <w:t>10.7</w:t>
            </w:r>
          </w:p>
        </w:tc>
        <w:tc>
          <w:tcPr>
            <w:tcW w:w="715" w:type="pct"/>
            <w:vAlign w:val="center"/>
          </w:tcPr>
          <w:p w14:paraId="1B7A9F85">
            <w:pPr>
              <w:jc w:val="center"/>
              <w:rPr>
                <w:rFonts w:eastAsiaTheme="minorEastAsia"/>
                <w:color w:val="000000"/>
                <w:szCs w:val="21"/>
                <w:highlight w:val="none"/>
              </w:rPr>
            </w:pPr>
            <w:r>
              <w:rPr>
                <w:color w:val="000000"/>
                <w:szCs w:val="21"/>
                <w:highlight w:val="none"/>
              </w:rPr>
              <w:t>29.2</w:t>
            </w:r>
          </w:p>
        </w:tc>
        <w:tc>
          <w:tcPr>
            <w:tcW w:w="714" w:type="pct"/>
            <w:vMerge w:val="restart"/>
            <w:vAlign w:val="center"/>
          </w:tcPr>
          <w:p w14:paraId="09C893AB">
            <w:pPr>
              <w:jc w:val="center"/>
              <w:rPr>
                <w:rFonts w:eastAsiaTheme="minorEastAsia"/>
                <w:color w:val="000000"/>
                <w:szCs w:val="21"/>
                <w:highlight w:val="none"/>
              </w:rPr>
            </w:pPr>
            <w:r>
              <w:rPr>
                <w:color w:val="000000"/>
                <w:szCs w:val="21"/>
                <w:highlight w:val="none"/>
              </w:rPr>
              <w:t>59.7</w:t>
            </w:r>
          </w:p>
        </w:tc>
      </w:tr>
      <w:tr w14:paraId="6AC8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51F8A772">
            <w:pPr>
              <w:jc w:val="center"/>
              <w:rPr>
                <w:rFonts w:eastAsiaTheme="minorEastAsia"/>
                <w:highlight w:val="none"/>
              </w:rPr>
            </w:pPr>
          </w:p>
        </w:tc>
        <w:tc>
          <w:tcPr>
            <w:tcW w:w="1326" w:type="dxa"/>
            <w:vAlign w:val="center"/>
          </w:tcPr>
          <w:p w14:paraId="16F43F9C">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669938B6">
            <w:pPr>
              <w:jc w:val="center"/>
              <w:rPr>
                <w:rFonts w:eastAsiaTheme="minorEastAsia"/>
                <w:color w:val="000000"/>
                <w:szCs w:val="21"/>
                <w:highlight w:val="none"/>
              </w:rPr>
            </w:pPr>
            <w:r>
              <w:rPr>
                <w:color w:val="000000"/>
                <w:szCs w:val="21"/>
                <w:highlight w:val="none"/>
              </w:rPr>
              <w:t>9.8</w:t>
            </w:r>
          </w:p>
        </w:tc>
        <w:tc>
          <w:tcPr>
            <w:tcW w:w="714" w:type="pct"/>
            <w:vAlign w:val="center"/>
          </w:tcPr>
          <w:p w14:paraId="1B735015">
            <w:pPr>
              <w:jc w:val="center"/>
              <w:rPr>
                <w:rFonts w:eastAsiaTheme="minorEastAsia"/>
                <w:color w:val="000000"/>
                <w:szCs w:val="21"/>
                <w:highlight w:val="none"/>
              </w:rPr>
            </w:pPr>
            <w:r>
              <w:rPr>
                <w:color w:val="000000"/>
                <w:szCs w:val="21"/>
                <w:highlight w:val="none"/>
              </w:rPr>
              <w:t>10.5</w:t>
            </w:r>
          </w:p>
        </w:tc>
        <w:tc>
          <w:tcPr>
            <w:tcW w:w="715" w:type="pct"/>
            <w:vAlign w:val="center"/>
          </w:tcPr>
          <w:p w14:paraId="47C32055">
            <w:pPr>
              <w:jc w:val="center"/>
              <w:rPr>
                <w:rFonts w:eastAsiaTheme="minorEastAsia"/>
                <w:color w:val="000000"/>
                <w:szCs w:val="21"/>
                <w:highlight w:val="none"/>
              </w:rPr>
            </w:pPr>
            <w:r>
              <w:rPr>
                <w:color w:val="000000"/>
                <w:szCs w:val="21"/>
                <w:highlight w:val="none"/>
              </w:rPr>
              <w:t>10.2</w:t>
            </w:r>
          </w:p>
        </w:tc>
        <w:tc>
          <w:tcPr>
            <w:tcW w:w="715" w:type="pct"/>
            <w:vAlign w:val="center"/>
          </w:tcPr>
          <w:p w14:paraId="64AA4256">
            <w:pPr>
              <w:jc w:val="center"/>
              <w:rPr>
                <w:rFonts w:eastAsiaTheme="minorEastAsia"/>
                <w:color w:val="000000"/>
                <w:szCs w:val="21"/>
                <w:highlight w:val="none"/>
              </w:rPr>
            </w:pPr>
            <w:r>
              <w:rPr>
                <w:color w:val="000000"/>
                <w:szCs w:val="21"/>
                <w:highlight w:val="none"/>
              </w:rPr>
              <w:t>30.5</w:t>
            </w:r>
          </w:p>
        </w:tc>
        <w:tc>
          <w:tcPr>
            <w:tcW w:w="714" w:type="pct"/>
            <w:vMerge w:val="continue"/>
            <w:vAlign w:val="center"/>
          </w:tcPr>
          <w:p w14:paraId="17A47134">
            <w:pPr>
              <w:jc w:val="center"/>
              <w:rPr>
                <w:rFonts w:eastAsiaTheme="minorEastAsia"/>
                <w:szCs w:val="21"/>
                <w:highlight w:val="none"/>
              </w:rPr>
            </w:pPr>
          </w:p>
        </w:tc>
      </w:tr>
      <w:tr w14:paraId="56B03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3A07DFF0">
            <w:pPr>
              <w:jc w:val="center"/>
              <w:rPr>
                <w:rFonts w:hint="eastAsia" w:eastAsiaTheme="minorEastAsia"/>
                <w:szCs w:val="21"/>
                <w:highlight w:val="none"/>
                <w:lang w:eastAsia="zh-CN"/>
              </w:rPr>
            </w:pPr>
            <w:r>
              <w:rPr>
                <w:rFonts w:hint="eastAsia" w:eastAsiaTheme="minorEastAsia"/>
                <w:szCs w:val="21"/>
                <w:highlight w:val="none"/>
                <w:lang w:val="en-US" w:eastAsia="zh-CN"/>
              </w:rPr>
              <w:t>3</w:t>
            </w:r>
          </w:p>
        </w:tc>
        <w:tc>
          <w:tcPr>
            <w:tcW w:w="1326" w:type="dxa"/>
            <w:vAlign w:val="center"/>
          </w:tcPr>
          <w:p w14:paraId="5289EB34">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221D9CAF">
            <w:pPr>
              <w:jc w:val="center"/>
              <w:rPr>
                <w:rFonts w:eastAsiaTheme="minorEastAsia"/>
                <w:color w:val="000000"/>
                <w:szCs w:val="21"/>
                <w:highlight w:val="none"/>
              </w:rPr>
            </w:pPr>
            <w:r>
              <w:rPr>
                <w:color w:val="000000"/>
                <w:szCs w:val="21"/>
                <w:highlight w:val="none"/>
              </w:rPr>
              <w:t>16.2</w:t>
            </w:r>
          </w:p>
        </w:tc>
        <w:tc>
          <w:tcPr>
            <w:tcW w:w="714" w:type="pct"/>
            <w:vAlign w:val="center"/>
          </w:tcPr>
          <w:p w14:paraId="03FF1024">
            <w:pPr>
              <w:jc w:val="center"/>
              <w:rPr>
                <w:rFonts w:eastAsiaTheme="minorEastAsia"/>
                <w:color w:val="000000"/>
                <w:szCs w:val="21"/>
                <w:highlight w:val="none"/>
              </w:rPr>
            </w:pPr>
            <w:r>
              <w:rPr>
                <w:color w:val="000000"/>
                <w:szCs w:val="21"/>
                <w:highlight w:val="none"/>
              </w:rPr>
              <w:t>18.2</w:t>
            </w:r>
          </w:p>
        </w:tc>
        <w:tc>
          <w:tcPr>
            <w:tcW w:w="715" w:type="pct"/>
            <w:vAlign w:val="center"/>
          </w:tcPr>
          <w:p w14:paraId="1980A852">
            <w:pPr>
              <w:jc w:val="center"/>
              <w:rPr>
                <w:rFonts w:eastAsiaTheme="minorEastAsia"/>
                <w:color w:val="000000"/>
                <w:szCs w:val="21"/>
                <w:highlight w:val="none"/>
              </w:rPr>
            </w:pPr>
            <w:r>
              <w:rPr>
                <w:color w:val="000000"/>
                <w:szCs w:val="21"/>
                <w:highlight w:val="none"/>
              </w:rPr>
              <w:t>18.0</w:t>
            </w:r>
          </w:p>
        </w:tc>
        <w:tc>
          <w:tcPr>
            <w:tcW w:w="715" w:type="pct"/>
            <w:vAlign w:val="center"/>
          </w:tcPr>
          <w:p w14:paraId="353758B8">
            <w:pPr>
              <w:jc w:val="center"/>
              <w:rPr>
                <w:rFonts w:eastAsiaTheme="minorEastAsia"/>
                <w:color w:val="000000"/>
                <w:szCs w:val="21"/>
                <w:highlight w:val="none"/>
              </w:rPr>
            </w:pPr>
            <w:r>
              <w:rPr>
                <w:color w:val="000000"/>
                <w:szCs w:val="21"/>
                <w:highlight w:val="none"/>
              </w:rPr>
              <w:t>52.4</w:t>
            </w:r>
          </w:p>
        </w:tc>
        <w:tc>
          <w:tcPr>
            <w:tcW w:w="714" w:type="pct"/>
            <w:vMerge w:val="restart"/>
            <w:vAlign w:val="center"/>
          </w:tcPr>
          <w:p w14:paraId="725E1CBD">
            <w:pPr>
              <w:jc w:val="center"/>
              <w:rPr>
                <w:rFonts w:eastAsiaTheme="minorEastAsia"/>
                <w:color w:val="000000"/>
                <w:szCs w:val="21"/>
                <w:highlight w:val="none"/>
              </w:rPr>
            </w:pPr>
            <w:r>
              <w:rPr>
                <w:color w:val="000000"/>
                <w:szCs w:val="21"/>
                <w:highlight w:val="none"/>
              </w:rPr>
              <w:t>104.3</w:t>
            </w:r>
          </w:p>
        </w:tc>
      </w:tr>
      <w:tr w14:paraId="3F3B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32F68758">
            <w:pPr>
              <w:jc w:val="center"/>
              <w:rPr>
                <w:rFonts w:eastAsiaTheme="minorEastAsia"/>
                <w:highlight w:val="none"/>
              </w:rPr>
            </w:pPr>
          </w:p>
        </w:tc>
        <w:tc>
          <w:tcPr>
            <w:tcW w:w="1326" w:type="dxa"/>
            <w:vAlign w:val="center"/>
          </w:tcPr>
          <w:p w14:paraId="2BA35C97">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22051652">
            <w:pPr>
              <w:jc w:val="center"/>
              <w:rPr>
                <w:rFonts w:eastAsiaTheme="minorEastAsia"/>
                <w:color w:val="000000"/>
                <w:szCs w:val="21"/>
                <w:highlight w:val="none"/>
              </w:rPr>
            </w:pPr>
            <w:r>
              <w:rPr>
                <w:color w:val="000000"/>
                <w:szCs w:val="21"/>
                <w:highlight w:val="none"/>
              </w:rPr>
              <w:t>17.7</w:t>
            </w:r>
          </w:p>
        </w:tc>
        <w:tc>
          <w:tcPr>
            <w:tcW w:w="714" w:type="pct"/>
            <w:vAlign w:val="center"/>
          </w:tcPr>
          <w:p w14:paraId="286F5B8E">
            <w:pPr>
              <w:jc w:val="center"/>
              <w:rPr>
                <w:rFonts w:eastAsiaTheme="minorEastAsia"/>
                <w:color w:val="000000"/>
                <w:szCs w:val="21"/>
                <w:highlight w:val="none"/>
              </w:rPr>
            </w:pPr>
            <w:r>
              <w:rPr>
                <w:color w:val="000000"/>
                <w:szCs w:val="21"/>
                <w:highlight w:val="none"/>
              </w:rPr>
              <w:t>16</w:t>
            </w:r>
          </w:p>
        </w:tc>
        <w:tc>
          <w:tcPr>
            <w:tcW w:w="715" w:type="pct"/>
            <w:vAlign w:val="center"/>
          </w:tcPr>
          <w:p w14:paraId="3E5FF15F">
            <w:pPr>
              <w:jc w:val="center"/>
              <w:rPr>
                <w:rFonts w:eastAsiaTheme="minorEastAsia"/>
                <w:color w:val="000000"/>
                <w:szCs w:val="21"/>
                <w:highlight w:val="none"/>
              </w:rPr>
            </w:pPr>
            <w:r>
              <w:rPr>
                <w:color w:val="000000"/>
                <w:szCs w:val="21"/>
                <w:highlight w:val="none"/>
              </w:rPr>
              <w:t>18.2</w:t>
            </w:r>
          </w:p>
        </w:tc>
        <w:tc>
          <w:tcPr>
            <w:tcW w:w="715" w:type="pct"/>
            <w:vAlign w:val="center"/>
          </w:tcPr>
          <w:p w14:paraId="7F1777C4">
            <w:pPr>
              <w:jc w:val="center"/>
              <w:rPr>
                <w:rFonts w:eastAsiaTheme="minorEastAsia"/>
                <w:color w:val="000000"/>
                <w:szCs w:val="21"/>
                <w:highlight w:val="none"/>
              </w:rPr>
            </w:pPr>
            <w:r>
              <w:rPr>
                <w:color w:val="000000"/>
                <w:szCs w:val="21"/>
                <w:highlight w:val="none"/>
              </w:rPr>
              <w:t>51.9</w:t>
            </w:r>
          </w:p>
        </w:tc>
        <w:tc>
          <w:tcPr>
            <w:tcW w:w="714" w:type="pct"/>
            <w:vMerge w:val="continue"/>
            <w:vAlign w:val="center"/>
          </w:tcPr>
          <w:p w14:paraId="1010CE95">
            <w:pPr>
              <w:jc w:val="center"/>
              <w:rPr>
                <w:rFonts w:eastAsiaTheme="minorEastAsia"/>
                <w:szCs w:val="21"/>
                <w:highlight w:val="none"/>
              </w:rPr>
            </w:pPr>
          </w:p>
        </w:tc>
      </w:tr>
      <w:tr w14:paraId="08111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15569608">
            <w:pPr>
              <w:jc w:val="center"/>
              <w:rPr>
                <w:rFonts w:hint="eastAsia" w:eastAsiaTheme="minorEastAsia"/>
                <w:szCs w:val="21"/>
                <w:highlight w:val="none"/>
                <w:lang w:eastAsia="zh-CN"/>
              </w:rPr>
            </w:pPr>
            <w:r>
              <w:rPr>
                <w:rFonts w:hint="eastAsia" w:eastAsiaTheme="minorEastAsia"/>
                <w:szCs w:val="21"/>
                <w:highlight w:val="none"/>
                <w:lang w:val="en-US" w:eastAsia="zh-CN"/>
              </w:rPr>
              <w:t>4</w:t>
            </w:r>
          </w:p>
        </w:tc>
        <w:tc>
          <w:tcPr>
            <w:tcW w:w="1326" w:type="dxa"/>
            <w:vAlign w:val="center"/>
          </w:tcPr>
          <w:p w14:paraId="34C64AC3">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6B493E29">
            <w:pPr>
              <w:jc w:val="center"/>
              <w:rPr>
                <w:rFonts w:eastAsiaTheme="minorEastAsia"/>
                <w:color w:val="000000"/>
                <w:szCs w:val="21"/>
                <w:highlight w:val="none"/>
              </w:rPr>
            </w:pPr>
            <w:r>
              <w:rPr>
                <w:color w:val="000000"/>
                <w:szCs w:val="21"/>
                <w:highlight w:val="none"/>
              </w:rPr>
              <w:t>10.2</w:t>
            </w:r>
          </w:p>
        </w:tc>
        <w:tc>
          <w:tcPr>
            <w:tcW w:w="714" w:type="pct"/>
            <w:vAlign w:val="center"/>
          </w:tcPr>
          <w:p w14:paraId="1524DB18">
            <w:pPr>
              <w:jc w:val="center"/>
              <w:rPr>
                <w:rFonts w:eastAsiaTheme="minorEastAsia"/>
                <w:color w:val="000000"/>
                <w:szCs w:val="21"/>
                <w:highlight w:val="none"/>
              </w:rPr>
            </w:pPr>
            <w:r>
              <w:rPr>
                <w:color w:val="000000"/>
                <w:szCs w:val="21"/>
                <w:highlight w:val="none"/>
              </w:rPr>
              <w:t>9.8</w:t>
            </w:r>
          </w:p>
        </w:tc>
        <w:tc>
          <w:tcPr>
            <w:tcW w:w="715" w:type="pct"/>
            <w:vAlign w:val="center"/>
          </w:tcPr>
          <w:p w14:paraId="74E0E930">
            <w:pPr>
              <w:jc w:val="center"/>
              <w:rPr>
                <w:rFonts w:eastAsiaTheme="minorEastAsia"/>
                <w:color w:val="000000"/>
                <w:szCs w:val="21"/>
                <w:highlight w:val="none"/>
              </w:rPr>
            </w:pPr>
            <w:r>
              <w:rPr>
                <w:color w:val="000000"/>
                <w:szCs w:val="21"/>
                <w:highlight w:val="none"/>
              </w:rPr>
              <w:t>10.3</w:t>
            </w:r>
          </w:p>
        </w:tc>
        <w:tc>
          <w:tcPr>
            <w:tcW w:w="715" w:type="pct"/>
            <w:vAlign w:val="center"/>
          </w:tcPr>
          <w:p w14:paraId="00E4E1D4">
            <w:pPr>
              <w:jc w:val="center"/>
              <w:rPr>
                <w:rFonts w:eastAsiaTheme="minorEastAsia"/>
                <w:color w:val="000000"/>
                <w:szCs w:val="21"/>
                <w:highlight w:val="none"/>
              </w:rPr>
            </w:pPr>
            <w:r>
              <w:rPr>
                <w:color w:val="000000"/>
                <w:szCs w:val="21"/>
                <w:highlight w:val="none"/>
              </w:rPr>
              <w:t>30.3</w:t>
            </w:r>
          </w:p>
        </w:tc>
        <w:tc>
          <w:tcPr>
            <w:tcW w:w="714" w:type="pct"/>
            <w:vMerge w:val="restart"/>
            <w:vAlign w:val="center"/>
          </w:tcPr>
          <w:p w14:paraId="2F831EA2">
            <w:pPr>
              <w:jc w:val="center"/>
              <w:rPr>
                <w:rFonts w:eastAsiaTheme="minorEastAsia"/>
                <w:color w:val="000000"/>
                <w:szCs w:val="21"/>
                <w:highlight w:val="none"/>
              </w:rPr>
            </w:pPr>
            <w:r>
              <w:rPr>
                <w:color w:val="000000"/>
                <w:szCs w:val="21"/>
                <w:highlight w:val="none"/>
              </w:rPr>
              <w:t>62.4</w:t>
            </w:r>
          </w:p>
        </w:tc>
      </w:tr>
      <w:tr w14:paraId="53D6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64F71D32">
            <w:pPr>
              <w:jc w:val="center"/>
              <w:rPr>
                <w:rFonts w:eastAsiaTheme="minorEastAsia"/>
                <w:highlight w:val="none"/>
              </w:rPr>
            </w:pPr>
          </w:p>
        </w:tc>
        <w:tc>
          <w:tcPr>
            <w:tcW w:w="1326" w:type="dxa"/>
            <w:vAlign w:val="center"/>
          </w:tcPr>
          <w:p w14:paraId="211E7C1E">
            <w:pPr>
              <w:jc w:val="center"/>
              <w:rPr>
                <w:rFonts w:eastAsiaTheme="minorEastAsia"/>
                <w:szCs w:val="21"/>
                <w:highlight w:val="none"/>
              </w:rPr>
            </w:pPr>
            <w:r>
              <w:rPr>
                <w:rFonts w:hint="eastAsia" w:eastAsiaTheme="minorEastAsia"/>
                <w:szCs w:val="21"/>
                <w:highlight w:val="none"/>
                <w:lang w:val="en-US" w:eastAsia="zh-CN"/>
              </w:rPr>
              <w:t>2</w:t>
            </w:r>
          </w:p>
        </w:tc>
        <w:tc>
          <w:tcPr>
            <w:tcW w:w="714" w:type="pct"/>
            <w:vAlign w:val="center"/>
          </w:tcPr>
          <w:p w14:paraId="42C0BCEF">
            <w:pPr>
              <w:jc w:val="center"/>
              <w:rPr>
                <w:rFonts w:eastAsiaTheme="minorEastAsia"/>
                <w:color w:val="000000"/>
                <w:szCs w:val="21"/>
                <w:highlight w:val="none"/>
              </w:rPr>
            </w:pPr>
            <w:r>
              <w:rPr>
                <w:color w:val="000000"/>
                <w:szCs w:val="21"/>
                <w:highlight w:val="none"/>
              </w:rPr>
              <w:t>10.6</w:t>
            </w:r>
          </w:p>
        </w:tc>
        <w:tc>
          <w:tcPr>
            <w:tcW w:w="714" w:type="pct"/>
            <w:vAlign w:val="center"/>
          </w:tcPr>
          <w:p w14:paraId="2C0893C7">
            <w:pPr>
              <w:jc w:val="center"/>
              <w:rPr>
                <w:rFonts w:eastAsiaTheme="minorEastAsia"/>
                <w:color w:val="000000"/>
                <w:szCs w:val="21"/>
                <w:highlight w:val="none"/>
              </w:rPr>
            </w:pPr>
            <w:r>
              <w:rPr>
                <w:color w:val="000000"/>
                <w:szCs w:val="21"/>
                <w:highlight w:val="none"/>
              </w:rPr>
              <w:t>10.7</w:t>
            </w:r>
          </w:p>
        </w:tc>
        <w:tc>
          <w:tcPr>
            <w:tcW w:w="715" w:type="pct"/>
            <w:vAlign w:val="center"/>
          </w:tcPr>
          <w:p w14:paraId="319C02EB">
            <w:pPr>
              <w:jc w:val="center"/>
              <w:rPr>
                <w:rFonts w:eastAsiaTheme="minorEastAsia"/>
                <w:color w:val="000000"/>
                <w:szCs w:val="21"/>
                <w:highlight w:val="none"/>
              </w:rPr>
            </w:pPr>
            <w:r>
              <w:rPr>
                <w:color w:val="000000"/>
                <w:szCs w:val="21"/>
                <w:highlight w:val="none"/>
              </w:rPr>
              <w:t>10.8</w:t>
            </w:r>
          </w:p>
        </w:tc>
        <w:tc>
          <w:tcPr>
            <w:tcW w:w="715" w:type="pct"/>
            <w:vAlign w:val="center"/>
          </w:tcPr>
          <w:p w14:paraId="7AF309BB">
            <w:pPr>
              <w:jc w:val="center"/>
              <w:rPr>
                <w:rFonts w:eastAsiaTheme="minorEastAsia"/>
                <w:color w:val="000000"/>
                <w:szCs w:val="21"/>
                <w:highlight w:val="none"/>
              </w:rPr>
            </w:pPr>
            <w:r>
              <w:rPr>
                <w:color w:val="000000"/>
                <w:szCs w:val="21"/>
                <w:highlight w:val="none"/>
              </w:rPr>
              <w:t>32.1</w:t>
            </w:r>
          </w:p>
        </w:tc>
        <w:tc>
          <w:tcPr>
            <w:tcW w:w="714" w:type="pct"/>
            <w:vMerge w:val="continue"/>
            <w:vAlign w:val="center"/>
          </w:tcPr>
          <w:p w14:paraId="4F9BED26">
            <w:pPr>
              <w:jc w:val="center"/>
              <w:rPr>
                <w:rFonts w:eastAsiaTheme="minorEastAsia"/>
                <w:szCs w:val="21"/>
                <w:highlight w:val="none"/>
              </w:rPr>
            </w:pPr>
          </w:p>
        </w:tc>
      </w:tr>
      <w:tr w14:paraId="19BA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08D69C5C">
            <w:pPr>
              <w:jc w:val="center"/>
              <w:rPr>
                <w:rFonts w:hint="eastAsia" w:eastAsiaTheme="minorEastAsia"/>
                <w:szCs w:val="21"/>
                <w:highlight w:val="none"/>
                <w:lang w:eastAsia="zh-CN"/>
              </w:rPr>
            </w:pPr>
            <w:bookmarkStart w:id="45" w:name="_Hlk207127008"/>
            <w:r>
              <w:rPr>
                <w:rFonts w:hint="eastAsia" w:eastAsiaTheme="minorEastAsia"/>
                <w:szCs w:val="21"/>
                <w:highlight w:val="none"/>
                <w:lang w:val="en-US" w:eastAsia="zh-CN"/>
              </w:rPr>
              <w:t>5</w:t>
            </w:r>
          </w:p>
        </w:tc>
        <w:tc>
          <w:tcPr>
            <w:tcW w:w="1326" w:type="dxa"/>
            <w:vAlign w:val="center"/>
          </w:tcPr>
          <w:p w14:paraId="6D3BF123">
            <w:pPr>
              <w:jc w:val="center"/>
              <w:rPr>
                <w:rFonts w:eastAsiaTheme="minorEastAsia"/>
                <w:szCs w:val="21"/>
                <w:highlight w:val="none"/>
              </w:rPr>
            </w:pPr>
            <w:r>
              <w:rPr>
                <w:rFonts w:hint="eastAsia" w:eastAsiaTheme="minorEastAsia"/>
                <w:szCs w:val="21"/>
                <w:highlight w:val="none"/>
                <w:lang w:val="en-US" w:eastAsia="zh-CN"/>
              </w:rPr>
              <w:t>1</w:t>
            </w:r>
          </w:p>
        </w:tc>
        <w:tc>
          <w:tcPr>
            <w:tcW w:w="714" w:type="pct"/>
            <w:vAlign w:val="center"/>
          </w:tcPr>
          <w:p w14:paraId="72C6D5D3">
            <w:pPr>
              <w:jc w:val="center"/>
              <w:rPr>
                <w:rFonts w:eastAsiaTheme="minorEastAsia"/>
                <w:color w:val="000000"/>
                <w:szCs w:val="21"/>
                <w:highlight w:val="none"/>
              </w:rPr>
            </w:pPr>
            <w:r>
              <w:rPr>
                <w:color w:val="000000"/>
                <w:highlight w:val="none"/>
              </w:rPr>
              <w:t xml:space="preserve">9.5 </w:t>
            </w:r>
          </w:p>
        </w:tc>
        <w:tc>
          <w:tcPr>
            <w:tcW w:w="714" w:type="pct"/>
            <w:vAlign w:val="center"/>
          </w:tcPr>
          <w:p w14:paraId="13362217">
            <w:pPr>
              <w:jc w:val="center"/>
              <w:rPr>
                <w:rFonts w:eastAsiaTheme="minorEastAsia"/>
                <w:color w:val="000000"/>
                <w:szCs w:val="21"/>
                <w:highlight w:val="none"/>
              </w:rPr>
            </w:pPr>
            <w:r>
              <w:rPr>
                <w:color w:val="000000"/>
                <w:highlight w:val="none"/>
              </w:rPr>
              <w:t xml:space="preserve">9.1 </w:t>
            </w:r>
          </w:p>
        </w:tc>
        <w:tc>
          <w:tcPr>
            <w:tcW w:w="715" w:type="pct"/>
            <w:vAlign w:val="center"/>
          </w:tcPr>
          <w:p w14:paraId="30E57D32">
            <w:pPr>
              <w:jc w:val="center"/>
              <w:rPr>
                <w:rFonts w:eastAsiaTheme="minorEastAsia"/>
                <w:color w:val="000000"/>
                <w:szCs w:val="21"/>
                <w:highlight w:val="none"/>
              </w:rPr>
            </w:pPr>
            <w:r>
              <w:rPr>
                <w:color w:val="000000"/>
                <w:highlight w:val="none"/>
              </w:rPr>
              <w:t xml:space="preserve">9.6 </w:t>
            </w:r>
          </w:p>
        </w:tc>
        <w:tc>
          <w:tcPr>
            <w:tcW w:w="715" w:type="pct"/>
            <w:vAlign w:val="center"/>
          </w:tcPr>
          <w:p w14:paraId="24E74063">
            <w:pPr>
              <w:jc w:val="center"/>
              <w:rPr>
                <w:rFonts w:eastAsiaTheme="minorEastAsia"/>
                <w:color w:val="000000"/>
                <w:szCs w:val="21"/>
                <w:highlight w:val="none"/>
              </w:rPr>
            </w:pPr>
            <w:r>
              <w:rPr>
                <w:color w:val="000000"/>
                <w:szCs w:val="21"/>
                <w:highlight w:val="none"/>
              </w:rPr>
              <w:t>28.2</w:t>
            </w:r>
          </w:p>
        </w:tc>
        <w:tc>
          <w:tcPr>
            <w:tcW w:w="714" w:type="pct"/>
            <w:vMerge w:val="restart"/>
            <w:vAlign w:val="center"/>
          </w:tcPr>
          <w:p w14:paraId="19BE9842">
            <w:pPr>
              <w:jc w:val="center"/>
              <w:rPr>
                <w:rFonts w:eastAsiaTheme="minorEastAsia"/>
                <w:color w:val="000000"/>
                <w:szCs w:val="21"/>
                <w:highlight w:val="none"/>
              </w:rPr>
            </w:pPr>
            <w:r>
              <w:rPr>
                <w:color w:val="000000"/>
                <w:szCs w:val="21"/>
                <w:highlight w:val="none"/>
              </w:rPr>
              <w:t>57.25</w:t>
            </w:r>
          </w:p>
        </w:tc>
      </w:tr>
      <w:tr w14:paraId="5FBBB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2FEE88AB">
            <w:pPr>
              <w:rPr>
                <w:highlight w:val="none"/>
              </w:rPr>
            </w:pPr>
          </w:p>
        </w:tc>
        <w:tc>
          <w:tcPr>
            <w:tcW w:w="1326" w:type="dxa"/>
            <w:vAlign w:val="center"/>
          </w:tcPr>
          <w:p w14:paraId="7A1D7BC7">
            <w:pPr>
              <w:jc w:val="center"/>
              <w:rPr>
                <w:rFonts w:eastAsiaTheme="minorEastAsia"/>
                <w:highlight w:val="none"/>
              </w:rPr>
            </w:pPr>
            <w:r>
              <w:rPr>
                <w:rFonts w:hint="eastAsia" w:eastAsiaTheme="minorEastAsia"/>
                <w:szCs w:val="21"/>
                <w:highlight w:val="none"/>
                <w:lang w:val="en-US" w:eastAsia="zh-CN"/>
              </w:rPr>
              <w:t>2</w:t>
            </w:r>
          </w:p>
        </w:tc>
        <w:tc>
          <w:tcPr>
            <w:tcW w:w="714" w:type="pct"/>
            <w:vAlign w:val="center"/>
          </w:tcPr>
          <w:p w14:paraId="18164B50">
            <w:pPr>
              <w:jc w:val="center"/>
              <w:rPr>
                <w:rFonts w:eastAsiaTheme="minorEastAsia"/>
                <w:color w:val="000000"/>
                <w:szCs w:val="21"/>
                <w:highlight w:val="none"/>
              </w:rPr>
            </w:pPr>
            <w:r>
              <w:rPr>
                <w:color w:val="000000"/>
                <w:highlight w:val="none"/>
              </w:rPr>
              <w:t xml:space="preserve">8.9 </w:t>
            </w:r>
          </w:p>
        </w:tc>
        <w:tc>
          <w:tcPr>
            <w:tcW w:w="714" w:type="pct"/>
            <w:vAlign w:val="center"/>
          </w:tcPr>
          <w:p w14:paraId="79710612">
            <w:pPr>
              <w:jc w:val="center"/>
              <w:rPr>
                <w:rFonts w:eastAsiaTheme="minorEastAsia"/>
                <w:color w:val="000000"/>
                <w:szCs w:val="21"/>
                <w:highlight w:val="none"/>
              </w:rPr>
            </w:pPr>
            <w:r>
              <w:rPr>
                <w:color w:val="000000"/>
                <w:highlight w:val="none"/>
              </w:rPr>
              <w:t xml:space="preserve">10.0 </w:t>
            </w:r>
          </w:p>
        </w:tc>
        <w:tc>
          <w:tcPr>
            <w:tcW w:w="715" w:type="pct"/>
            <w:vAlign w:val="center"/>
          </w:tcPr>
          <w:p w14:paraId="19DF40ED">
            <w:pPr>
              <w:jc w:val="center"/>
              <w:rPr>
                <w:rFonts w:eastAsiaTheme="minorEastAsia"/>
                <w:color w:val="000000"/>
                <w:szCs w:val="21"/>
                <w:highlight w:val="none"/>
              </w:rPr>
            </w:pPr>
            <w:r>
              <w:rPr>
                <w:color w:val="000000"/>
                <w:highlight w:val="none"/>
              </w:rPr>
              <w:t xml:space="preserve">10.1 </w:t>
            </w:r>
          </w:p>
        </w:tc>
        <w:tc>
          <w:tcPr>
            <w:tcW w:w="715" w:type="pct"/>
            <w:vAlign w:val="center"/>
          </w:tcPr>
          <w:p w14:paraId="581BEA74">
            <w:pPr>
              <w:jc w:val="center"/>
              <w:rPr>
                <w:rFonts w:eastAsiaTheme="minorEastAsia"/>
                <w:color w:val="000000"/>
                <w:szCs w:val="21"/>
                <w:highlight w:val="none"/>
              </w:rPr>
            </w:pPr>
            <w:r>
              <w:rPr>
                <w:color w:val="000000"/>
                <w:szCs w:val="21"/>
                <w:highlight w:val="none"/>
              </w:rPr>
              <w:t>29.05</w:t>
            </w:r>
          </w:p>
        </w:tc>
        <w:tc>
          <w:tcPr>
            <w:tcW w:w="714" w:type="pct"/>
            <w:vMerge w:val="continue"/>
            <w:vAlign w:val="center"/>
          </w:tcPr>
          <w:p w14:paraId="2A09808B">
            <w:pPr>
              <w:rPr>
                <w:highlight w:val="none"/>
              </w:rPr>
            </w:pPr>
          </w:p>
        </w:tc>
      </w:tr>
      <w:bookmarkEnd w:id="45"/>
      <w:tr w14:paraId="3712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41C271F5">
            <w:pPr>
              <w:jc w:val="center"/>
              <w:rPr>
                <w:rFonts w:hint="eastAsia" w:eastAsiaTheme="minorEastAsia"/>
                <w:highlight w:val="none"/>
                <w:lang w:eastAsia="zh-CN"/>
              </w:rPr>
            </w:pPr>
            <w:r>
              <w:rPr>
                <w:rFonts w:hint="eastAsia" w:eastAsiaTheme="minorEastAsia"/>
                <w:szCs w:val="21"/>
                <w:highlight w:val="none"/>
                <w:lang w:val="en-US" w:eastAsia="zh-CN"/>
              </w:rPr>
              <w:t>6</w:t>
            </w:r>
          </w:p>
        </w:tc>
        <w:tc>
          <w:tcPr>
            <w:tcW w:w="1326" w:type="dxa"/>
            <w:vAlign w:val="center"/>
          </w:tcPr>
          <w:p w14:paraId="5B9A8CE8">
            <w:pPr>
              <w:jc w:val="center"/>
              <w:rPr>
                <w:rFonts w:eastAsiaTheme="minorEastAsia"/>
                <w:highlight w:val="none"/>
              </w:rPr>
            </w:pPr>
            <w:r>
              <w:rPr>
                <w:rFonts w:hint="eastAsia" w:eastAsiaTheme="minorEastAsia"/>
                <w:szCs w:val="21"/>
                <w:highlight w:val="none"/>
                <w:lang w:val="en-US" w:eastAsia="zh-CN"/>
              </w:rPr>
              <w:t>1</w:t>
            </w:r>
          </w:p>
        </w:tc>
        <w:tc>
          <w:tcPr>
            <w:tcW w:w="714" w:type="pct"/>
            <w:vAlign w:val="center"/>
          </w:tcPr>
          <w:p w14:paraId="531C965E">
            <w:pPr>
              <w:jc w:val="center"/>
              <w:rPr>
                <w:rFonts w:eastAsiaTheme="minorEastAsia"/>
                <w:color w:val="000000"/>
                <w:szCs w:val="21"/>
                <w:highlight w:val="none"/>
              </w:rPr>
            </w:pPr>
            <w:r>
              <w:rPr>
                <w:color w:val="000000"/>
                <w:szCs w:val="21"/>
                <w:highlight w:val="none"/>
              </w:rPr>
              <w:t>19.5</w:t>
            </w:r>
          </w:p>
        </w:tc>
        <w:tc>
          <w:tcPr>
            <w:tcW w:w="714" w:type="pct"/>
            <w:vAlign w:val="center"/>
          </w:tcPr>
          <w:p w14:paraId="0AC1782E">
            <w:pPr>
              <w:jc w:val="center"/>
              <w:rPr>
                <w:rFonts w:eastAsiaTheme="minorEastAsia"/>
                <w:color w:val="000000"/>
                <w:szCs w:val="21"/>
                <w:highlight w:val="none"/>
              </w:rPr>
            </w:pPr>
            <w:r>
              <w:rPr>
                <w:color w:val="000000"/>
                <w:szCs w:val="21"/>
                <w:highlight w:val="none"/>
              </w:rPr>
              <w:t>19.9</w:t>
            </w:r>
          </w:p>
        </w:tc>
        <w:tc>
          <w:tcPr>
            <w:tcW w:w="715" w:type="pct"/>
            <w:vAlign w:val="center"/>
          </w:tcPr>
          <w:p w14:paraId="3B2C42FF">
            <w:pPr>
              <w:jc w:val="center"/>
              <w:rPr>
                <w:rFonts w:eastAsiaTheme="minorEastAsia"/>
                <w:color w:val="000000"/>
                <w:szCs w:val="21"/>
                <w:highlight w:val="none"/>
              </w:rPr>
            </w:pPr>
            <w:r>
              <w:rPr>
                <w:color w:val="000000"/>
                <w:szCs w:val="21"/>
                <w:highlight w:val="none"/>
              </w:rPr>
              <w:t>19.8</w:t>
            </w:r>
          </w:p>
        </w:tc>
        <w:tc>
          <w:tcPr>
            <w:tcW w:w="715" w:type="pct"/>
            <w:vAlign w:val="center"/>
          </w:tcPr>
          <w:p w14:paraId="2C12F2A6">
            <w:pPr>
              <w:jc w:val="center"/>
              <w:rPr>
                <w:rFonts w:eastAsiaTheme="minorEastAsia"/>
                <w:color w:val="000000"/>
                <w:szCs w:val="21"/>
                <w:highlight w:val="none"/>
              </w:rPr>
            </w:pPr>
            <w:r>
              <w:rPr>
                <w:color w:val="000000"/>
                <w:szCs w:val="21"/>
                <w:highlight w:val="none"/>
              </w:rPr>
              <w:t>59.2</w:t>
            </w:r>
          </w:p>
        </w:tc>
        <w:tc>
          <w:tcPr>
            <w:tcW w:w="714" w:type="pct"/>
            <w:vMerge w:val="restart"/>
            <w:vAlign w:val="center"/>
          </w:tcPr>
          <w:p w14:paraId="6DF3A51E">
            <w:pPr>
              <w:jc w:val="center"/>
              <w:rPr>
                <w:highlight w:val="none"/>
              </w:rPr>
            </w:pPr>
            <w:r>
              <w:rPr>
                <w:color w:val="000000"/>
                <w:szCs w:val="21"/>
                <w:highlight w:val="none"/>
              </w:rPr>
              <w:t>119.6</w:t>
            </w:r>
          </w:p>
        </w:tc>
      </w:tr>
      <w:tr w14:paraId="59C6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vAlign w:val="center"/>
          </w:tcPr>
          <w:p w14:paraId="0B1B81D9">
            <w:pPr>
              <w:jc w:val="center"/>
              <w:rPr>
                <w:highlight w:val="none"/>
              </w:rPr>
            </w:pPr>
          </w:p>
        </w:tc>
        <w:tc>
          <w:tcPr>
            <w:tcW w:w="1326" w:type="dxa"/>
            <w:vAlign w:val="center"/>
          </w:tcPr>
          <w:p w14:paraId="395127E4">
            <w:pPr>
              <w:jc w:val="center"/>
              <w:rPr>
                <w:rFonts w:eastAsiaTheme="minorEastAsia"/>
                <w:highlight w:val="none"/>
              </w:rPr>
            </w:pPr>
            <w:r>
              <w:rPr>
                <w:rFonts w:hint="eastAsia" w:eastAsiaTheme="minorEastAsia"/>
                <w:szCs w:val="21"/>
                <w:highlight w:val="none"/>
                <w:lang w:val="en-US" w:eastAsia="zh-CN"/>
              </w:rPr>
              <w:t>2</w:t>
            </w:r>
          </w:p>
        </w:tc>
        <w:tc>
          <w:tcPr>
            <w:tcW w:w="714" w:type="pct"/>
            <w:vAlign w:val="center"/>
          </w:tcPr>
          <w:p w14:paraId="7974294C">
            <w:pPr>
              <w:jc w:val="center"/>
              <w:rPr>
                <w:rFonts w:eastAsiaTheme="minorEastAsia"/>
                <w:color w:val="000000"/>
                <w:szCs w:val="21"/>
                <w:highlight w:val="none"/>
              </w:rPr>
            </w:pPr>
            <w:r>
              <w:rPr>
                <w:color w:val="000000"/>
                <w:szCs w:val="21"/>
                <w:highlight w:val="none"/>
              </w:rPr>
              <w:t>19.8</w:t>
            </w:r>
          </w:p>
        </w:tc>
        <w:tc>
          <w:tcPr>
            <w:tcW w:w="714" w:type="pct"/>
            <w:vAlign w:val="center"/>
          </w:tcPr>
          <w:p w14:paraId="78612FC8">
            <w:pPr>
              <w:jc w:val="center"/>
              <w:rPr>
                <w:rFonts w:eastAsiaTheme="minorEastAsia"/>
                <w:color w:val="000000"/>
                <w:szCs w:val="21"/>
                <w:highlight w:val="none"/>
              </w:rPr>
            </w:pPr>
            <w:r>
              <w:rPr>
                <w:color w:val="000000"/>
                <w:szCs w:val="21"/>
                <w:highlight w:val="none"/>
              </w:rPr>
              <w:t>20.0</w:t>
            </w:r>
          </w:p>
        </w:tc>
        <w:tc>
          <w:tcPr>
            <w:tcW w:w="715" w:type="pct"/>
            <w:vAlign w:val="center"/>
          </w:tcPr>
          <w:p w14:paraId="43731081">
            <w:pPr>
              <w:jc w:val="center"/>
              <w:rPr>
                <w:rFonts w:eastAsiaTheme="minorEastAsia"/>
                <w:color w:val="000000"/>
                <w:szCs w:val="21"/>
                <w:highlight w:val="none"/>
              </w:rPr>
            </w:pPr>
            <w:r>
              <w:rPr>
                <w:color w:val="000000"/>
                <w:szCs w:val="21"/>
                <w:highlight w:val="none"/>
              </w:rPr>
              <w:t>20.6</w:t>
            </w:r>
          </w:p>
        </w:tc>
        <w:tc>
          <w:tcPr>
            <w:tcW w:w="715" w:type="pct"/>
            <w:vAlign w:val="center"/>
          </w:tcPr>
          <w:p w14:paraId="304D00A7">
            <w:pPr>
              <w:jc w:val="center"/>
              <w:rPr>
                <w:rFonts w:eastAsiaTheme="minorEastAsia"/>
                <w:color w:val="000000"/>
                <w:szCs w:val="21"/>
                <w:highlight w:val="none"/>
              </w:rPr>
            </w:pPr>
            <w:r>
              <w:rPr>
                <w:color w:val="000000"/>
                <w:szCs w:val="21"/>
                <w:highlight w:val="none"/>
              </w:rPr>
              <w:t>60.4</w:t>
            </w:r>
          </w:p>
        </w:tc>
        <w:tc>
          <w:tcPr>
            <w:tcW w:w="714" w:type="pct"/>
            <w:vMerge w:val="continue"/>
            <w:vAlign w:val="center"/>
          </w:tcPr>
          <w:p w14:paraId="151ECDB4">
            <w:pPr>
              <w:jc w:val="center"/>
              <w:rPr>
                <w:highlight w:val="none"/>
              </w:rPr>
            </w:pPr>
          </w:p>
        </w:tc>
      </w:tr>
      <w:tr w14:paraId="4F9A4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restart"/>
            <w:vAlign w:val="center"/>
          </w:tcPr>
          <w:p w14:paraId="3DAA1B95">
            <w:pPr>
              <w:jc w:val="center"/>
              <w:rPr>
                <w:rFonts w:hint="eastAsia" w:eastAsiaTheme="minorEastAsia"/>
                <w:highlight w:val="none"/>
                <w:lang w:eastAsia="zh-CN"/>
              </w:rPr>
            </w:pPr>
            <w:r>
              <w:rPr>
                <w:rFonts w:hint="eastAsia" w:eastAsiaTheme="minorEastAsia"/>
                <w:szCs w:val="21"/>
                <w:highlight w:val="none"/>
                <w:lang w:val="en-US" w:eastAsia="zh-CN"/>
              </w:rPr>
              <w:t>7</w:t>
            </w:r>
          </w:p>
        </w:tc>
        <w:tc>
          <w:tcPr>
            <w:tcW w:w="1326" w:type="dxa"/>
            <w:vAlign w:val="center"/>
          </w:tcPr>
          <w:p w14:paraId="41F10177">
            <w:pPr>
              <w:jc w:val="center"/>
              <w:rPr>
                <w:rFonts w:eastAsiaTheme="minorEastAsia"/>
                <w:highlight w:val="none"/>
              </w:rPr>
            </w:pPr>
            <w:r>
              <w:rPr>
                <w:rFonts w:hint="eastAsia" w:eastAsiaTheme="minorEastAsia"/>
                <w:szCs w:val="21"/>
                <w:highlight w:val="none"/>
                <w:lang w:val="en-US" w:eastAsia="zh-CN"/>
              </w:rPr>
              <w:t>1</w:t>
            </w:r>
          </w:p>
        </w:tc>
        <w:tc>
          <w:tcPr>
            <w:tcW w:w="714" w:type="pct"/>
            <w:vAlign w:val="center"/>
          </w:tcPr>
          <w:p w14:paraId="55D20001">
            <w:pPr>
              <w:jc w:val="center"/>
              <w:rPr>
                <w:rFonts w:eastAsiaTheme="minorEastAsia"/>
                <w:color w:val="000000"/>
                <w:szCs w:val="21"/>
                <w:highlight w:val="none"/>
              </w:rPr>
            </w:pPr>
            <w:r>
              <w:rPr>
                <w:color w:val="000000"/>
                <w:highlight w:val="none"/>
              </w:rPr>
              <w:t xml:space="preserve">15.4 </w:t>
            </w:r>
          </w:p>
        </w:tc>
        <w:tc>
          <w:tcPr>
            <w:tcW w:w="714" w:type="pct"/>
            <w:vAlign w:val="center"/>
          </w:tcPr>
          <w:p w14:paraId="74571508">
            <w:pPr>
              <w:jc w:val="center"/>
              <w:rPr>
                <w:rFonts w:eastAsiaTheme="minorEastAsia"/>
                <w:color w:val="000000"/>
                <w:szCs w:val="21"/>
                <w:highlight w:val="none"/>
              </w:rPr>
            </w:pPr>
            <w:r>
              <w:rPr>
                <w:color w:val="000000"/>
                <w:highlight w:val="none"/>
              </w:rPr>
              <w:t xml:space="preserve">14.4 </w:t>
            </w:r>
          </w:p>
        </w:tc>
        <w:tc>
          <w:tcPr>
            <w:tcW w:w="715" w:type="pct"/>
            <w:vAlign w:val="center"/>
          </w:tcPr>
          <w:p w14:paraId="4BCEB89C">
            <w:pPr>
              <w:jc w:val="center"/>
              <w:rPr>
                <w:rFonts w:eastAsiaTheme="minorEastAsia"/>
                <w:color w:val="000000"/>
                <w:szCs w:val="21"/>
                <w:highlight w:val="none"/>
              </w:rPr>
            </w:pPr>
            <w:r>
              <w:rPr>
                <w:color w:val="000000"/>
                <w:highlight w:val="none"/>
              </w:rPr>
              <w:t xml:space="preserve">14.1 </w:t>
            </w:r>
          </w:p>
        </w:tc>
        <w:tc>
          <w:tcPr>
            <w:tcW w:w="715" w:type="pct"/>
            <w:vAlign w:val="center"/>
          </w:tcPr>
          <w:p w14:paraId="548D174E">
            <w:pPr>
              <w:jc w:val="center"/>
              <w:rPr>
                <w:rFonts w:eastAsiaTheme="minorEastAsia"/>
                <w:color w:val="000000"/>
                <w:szCs w:val="21"/>
                <w:highlight w:val="none"/>
              </w:rPr>
            </w:pPr>
            <w:r>
              <w:rPr>
                <w:color w:val="000000"/>
                <w:szCs w:val="21"/>
                <w:highlight w:val="none"/>
              </w:rPr>
              <w:t>43.9</w:t>
            </w:r>
          </w:p>
        </w:tc>
        <w:tc>
          <w:tcPr>
            <w:tcW w:w="714" w:type="pct"/>
            <w:vMerge w:val="restart"/>
            <w:vAlign w:val="center"/>
          </w:tcPr>
          <w:p w14:paraId="43C3F4FC">
            <w:pPr>
              <w:jc w:val="center"/>
              <w:rPr>
                <w:highlight w:val="none"/>
              </w:rPr>
            </w:pPr>
            <w:r>
              <w:rPr>
                <w:color w:val="000000"/>
                <w:szCs w:val="21"/>
                <w:highlight w:val="none"/>
              </w:rPr>
              <w:t>87.4</w:t>
            </w:r>
          </w:p>
        </w:tc>
      </w:tr>
      <w:tr w14:paraId="3333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pct"/>
            <w:vMerge w:val="continue"/>
          </w:tcPr>
          <w:p w14:paraId="2413A8D4">
            <w:pPr>
              <w:rPr>
                <w:highlight w:val="none"/>
              </w:rPr>
            </w:pPr>
          </w:p>
        </w:tc>
        <w:tc>
          <w:tcPr>
            <w:tcW w:w="1326" w:type="dxa"/>
            <w:vAlign w:val="center"/>
          </w:tcPr>
          <w:p w14:paraId="2140819E">
            <w:pPr>
              <w:jc w:val="center"/>
              <w:rPr>
                <w:rFonts w:eastAsiaTheme="minorEastAsia"/>
                <w:highlight w:val="none"/>
              </w:rPr>
            </w:pPr>
            <w:r>
              <w:rPr>
                <w:rFonts w:hint="eastAsia" w:eastAsiaTheme="minorEastAsia"/>
                <w:szCs w:val="21"/>
                <w:highlight w:val="none"/>
                <w:lang w:val="en-US" w:eastAsia="zh-CN"/>
              </w:rPr>
              <w:t>2</w:t>
            </w:r>
          </w:p>
        </w:tc>
        <w:tc>
          <w:tcPr>
            <w:tcW w:w="714" w:type="pct"/>
            <w:vAlign w:val="center"/>
          </w:tcPr>
          <w:p w14:paraId="42B95181">
            <w:pPr>
              <w:jc w:val="center"/>
              <w:rPr>
                <w:rFonts w:eastAsiaTheme="minorEastAsia"/>
                <w:color w:val="000000"/>
                <w:szCs w:val="21"/>
                <w:highlight w:val="none"/>
              </w:rPr>
            </w:pPr>
            <w:r>
              <w:rPr>
                <w:color w:val="000000"/>
                <w:highlight w:val="none"/>
              </w:rPr>
              <w:t xml:space="preserve">15.0 </w:t>
            </w:r>
          </w:p>
        </w:tc>
        <w:tc>
          <w:tcPr>
            <w:tcW w:w="714" w:type="pct"/>
            <w:vAlign w:val="center"/>
          </w:tcPr>
          <w:p w14:paraId="5A78AA2A">
            <w:pPr>
              <w:jc w:val="center"/>
              <w:rPr>
                <w:rFonts w:eastAsiaTheme="minorEastAsia"/>
                <w:color w:val="000000"/>
                <w:szCs w:val="21"/>
                <w:highlight w:val="none"/>
              </w:rPr>
            </w:pPr>
            <w:r>
              <w:rPr>
                <w:color w:val="000000"/>
                <w:highlight w:val="none"/>
              </w:rPr>
              <w:t xml:space="preserve">13.9 </w:t>
            </w:r>
          </w:p>
        </w:tc>
        <w:tc>
          <w:tcPr>
            <w:tcW w:w="715" w:type="pct"/>
            <w:vAlign w:val="center"/>
          </w:tcPr>
          <w:p w14:paraId="6224E11A">
            <w:pPr>
              <w:jc w:val="center"/>
              <w:rPr>
                <w:rFonts w:eastAsiaTheme="minorEastAsia"/>
                <w:color w:val="000000"/>
                <w:szCs w:val="21"/>
                <w:highlight w:val="none"/>
              </w:rPr>
            </w:pPr>
            <w:r>
              <w:rPr>
                <w:color w:val="000000"/>
                <w:highlight w:val="none"/>
              </w:rPr>
              <w:t xml:space="preserve">14.6 </w:t>
            </w:r>
          </w:p>
        </w:tc>
        <w:tc>
          <w:tcPr>
            <w:tcW w:w="715" w:type="pct"/>
            <w:vAlign w:val="center"/>
          </w:tcPr>
          <w:p w14:paraId="3BDC861A">
            <w:pPr>
              <w:jc w:val="center"/>
              <w:rPr>
                <w:rFonts w:eastAsiaTheme="minorEastAsia"/>
                <w:color w:val="000000"/>
                <w:szCs w:val="21"/>
                <w:highlight w:val="none"/>
              </w:rPr>
            </w:pPr>
            <w:r>
              <w:rPr>
                <w:color w:val="000000"/>
                <w:szCs w:val="21"/>
                <w:highlight w:val="none"/>
              </w:rPr>
              <w:t>43.5</w:t>
            </w:r>
          </w:p>
        </w:tc>
        <w:tc>
          <w:tcPr>
            <w:tcW w:w="714" w:type="pct"/>
            <w:vMerge w:val="continue"/>
          </w:tcPr>
          <w:p w14:paraId="16115D41">
            <w:pPr>
              <w:rPr>
                <w:highlight w:val="none"/>
              </w:rPr>
            </w:pPr>
          </w:p>
        </w:tc>
      </w:tr>
    </w:tbl>
    <w:p w14:paraId="36031156">
      <w:pPr>
        <w:widowControl/>
        <w:snapToGrid w:val="0"/>
        <w:spacing w:before="156" w:beforeLines="50" w:after="156" w:afterLines="50" w:line="300" w:lineRule="auto"/>
        <w:ind w:firstLine="442"/>
        <w:rPr>
          <w:sz w:val="24"/>
          <w:highlight w:val="none"/>
        </w:rPr>
      </w:pPr>
      <w:r>
        <w:rPr>
          <w:sz w:val="24"/>
          <w:highlight w:val="none"/>
        </w:rPr>
        <w:t>将表</w:t>
      </w:r>
      <w:r>
        <w:rPr>
          <w:rFonts w:hint="eastAsia"/>
          <w:sz w:val="24"/>
          <w:highlight w:val="none"/>
        </w:rPr>
        <w:t>11</w:t>
      </w:r>
      <w:r>
        <w:rPr>
          <w:sz w:val="24"/>
          <w:highlight w:val="none"/>
        </w:rPr>
        <w:t>中的数值应用于下列公式以产生ANOVA表。</w:t>
      </w:r>
    </w:p>
    <w:p w14:paraId="6C5C746A">
      <w:pPr>
        <w:widowControl/>
        <w:snapToGrid w:val="0"/>
        <w:spacing w:line="480" w:lineRule="auto"/>
        <w:ind w:firstLine="442"/>
        <w:jc w:val="center"/>
        <w:rPr>
          <w:sz w:val="22"/>
          <w:highlight w:val="none"/>
        </w:rPr>
      </w:pPr>
      <m:oMath>
        <m:r>
          <m:rPr/>
          <w:rPr>
            <w:rFonts w:ascii="Cambria Math" w:hAnsi="Cambria Math"/>
            <w:sz w:val="22"/>
            <w:highlight w:val="none"/>
          </w:rPr>
          <m:t>T=</m:t>
        </m:r>
        <m:nary>
          <m:naryPr>
            <m:chr m:val="∑"/>
            <m:limLoc m:val="undOvr"/>
            <m:supHide m:val="1"/>
            <m:ctrlPr>
              <w:rPr>
                <w:rFonts w:ascii="Cambria Math" w:hAnsi="Cambria Math"/>
                <w:i/>
                <w:sz w:val="22"/>
                <w:highlight w:val="none"/>
              </w:rPr>
            </m:ctrlPr>
          </m:naryPr>
          <m:sub>
            <m:r>
              <m:rPr/>
              <w:rPr>
                <w:rFonts w:ascii="Cambria Math" w:hAnsi="Cambria Math"/>
                <w:sz w:val="22"/>
                <w:highlight w:val="none"/>
              </w:rPr>
              <m:t>i</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j</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k</m:t>
                    </m:r>
                    <m:ctrlPr>
                      <w:rPr>
                        <w:rFonts w:ascii="Cambria Math" w:hAnsi="Cambria Math"/>
                        <w:i/>
                        <w:sz w:val="22"/>
                        <w:highlight w:val="none"/>
                      </w:rPr>
                    </m:ctrlPr>
                  </m:sub>
                  <m:sup>
                    <m:ctrlPr>
                      <w:rPr>
                        <w:rFonts w:ascii="Cambria Math" w:hAnsi="Cambria Math"/>
                        <w:i/>
                        <w:sz w:val="22"/>
                        <w:highlight w:val="none"/>
                      </w:rPr>
                    </m:ctrlPr>
                  </m:sup>
                  <m:e>
                    <m:sSub>
                      <m:sSubPr>
                        <m:ctrlPr>
                          <w:rPr>
                            <w:rFonts w:ascii="Cambria Math" w:hAnsi="Cambria Math"/>
                            <w:i/>
                            <w:sz w:val="22"/>
                            <w:highlight w:val="none"/>
                          </w:rPr>
                        </m:ctrlPr>
                      </m:sSubPr>
                      <m:e>
                        <m:r>
                          <m:rPr/>
                          <w:rPr>
                            <w:rFonts w:ascii="Cambria Math" w:hAnsi="Cambria Math"/>
                            <w:sz w:val="22"/>
                            <w:highlight w:val="none"/>
                          </w:rPr>
                          <m:t>y</m:t>
                        </m:r>
                        <m:ctrlPr>
                          <w:rPr>
                            <w:rFonts w:ascii="Cambria Math" w:hAnsi="Cambria Math"/>
                            <w:i/>
                            <w:sz w:val="22"/>
                            <w:highlight w:val="none"/>
                          </w:rPr>
                        </m:ctrlPr>
                      </m:e>
                      <m:sub>
                        <m:r>
                          <m:rPr/>
                          <w:rPr>
                            <w:rFonts w:ascii="Cambria Math" w:hAnsi="Cambria Math"/>
                            <w:sz w:val="22"/>
                            <w:highlight w:val="none"/>
                          </w:rPr>
                          <m:t>ijk</m:t>
                        </m:r>
                        <m:ctrlPr>
                          <w:rPr>
                            <w:rFonts w:ascii="Cambria Math" w:hAnsi="Cambria Math"/>
                            <w:i/>
                            <w:sz w:val="22"/>
                            <w:highlight w:val="none"/>
                          </w:rPr>
                        </m:ctrlPr>
                      </m:sub>
                    </m:sSub>
                    <m:ctrlPr>
                      <w:rPr>
                        <w:rFonts w:ascii="Cambria Math" w:hAnsi="Cambria Math"/>
                        <w:i/>
                        <w:sz w:val="22"/>
                        <w:highlight w:val="none"/>
                      </w:rPr>
                    </m:ctrlPr>
                  </m:e>
                </m:nary>
                <m:ctrlPr>
                  <w:rPr>
                    <w:rFonts w:ascii="Cambria Math" w:hAnsi="Cambria Math"/>
                    <w:i/>
                    <w:sz w:val="22"/>
                    <w:highlight w:val="none"/>
                  </w:rPr>
                </m:ctrlPr>
              </m:e>
            </m:nary>
            <m:ctrlPr>
              <w:rPr>
                <w:rFonts w:ascii="Cambria Math" w:hAnsi="Cambria Math"/>
                <w:i/>
                <w:sz w:val="22"/>
                <w:highlight w:val="none"/>
              </w:rPr>
            </m:ctrlPr>
          </m:e>
        </m:nary>
      </m:oMath>
      <w:r>
        <w:rPr>
          <w:sz w:val="22"/>
          <w:highlight w:val="none"/>
        </w:rPr>
        <w:t>= 579.85</w:t>
      </w:r>
    </w:p>
    <w:p w14:paraId="71A346C8">
      <w:pPr>
        <w:widowControl/>
        <w:snapToGrid w:val="0"/>
        <w:spacing w:line="480" w:lineRule="auto"/>
        <w:ind w:firstLine="442"/>
        <w:jc w:val="center"/>
        <w:rPr>
          <w:sz w:val="22"/>
          <w:highlight w:val="none"/>
        </w:rPr>
      </w:pPr>
      <m:oMathPara>
        <m:oMath>
          <m:sSub>
            <m:sSubPr>
              <m:ctrlPr>
                <w:rPr>
                  <w:rFonts w:ascii="Cambria Math" w:hAnsi="Cambria Math"/>
                  <w:i/>
                  <w:sz w:val="22"/>
                  <w:highlight w:val="none"/>
                </w:rPr>
              </m:ctrlPr>
            </m:sSubPr>
            <m:e>
              <m:r>
                <m:rPr/>
                <w:rPr>
                  <w:rFonts w:ascii="Cambria Math" w:hAnsi="Cambria Math"/>
                  <w:sz w:val="22"/>
                  <w:highlight w:val="none"/>
                </w:rPr>
                <m:t>S</m:t>
              </m:r>
              <m:ctrlPr>
                <w:rPr>
                  <w:rFonts w:ascii="Cambria Math" w:hAnsi="Cambria Math"/>
                  <w:i/>
                  <w:sz w:val="22"/>
                  <w:highlight w:val="none"/>
                </w:rPr>
              </m:ctrlPr>
            </m:e>
            <m:sub>
              <m:r>
                <m:rPr>
                  <m:sty m:val="p"/>
                </m:rPr>
                <w:rPr>
                  <w:rFonts w:ascii="Cambria Math" w:hAnsi="Cambria Math"/>
                  <w:sz w:val="22"/>
                  <w:highlight w:val="none"/>
                </w:rPr>
                <m:t>T</m:t>
              </m:r>
              <m:ctrlPr>
                <w:rPr>
                  <w:rFonts w:ascii="Cambria Math" w:hAnsi="Cambria Math"/>
                  <w:i/>
                  <w:sz w:val="22"/>
                  <w:highlight w:val="none"/>
                </w:rPr>
              </m:ctrlPr>
            </m:sub>
          </m:sSub>
          <m:r>
            <m:rPr/>
            <w:rPr>
              <w:rFonts w:ascii="Cambria Math" w:hAnsi="Cambria Math"/>
              <w:sz w:val="22"/>
              <w:highlight w:val="none"/>
            </w:rPr>
            <m:t>=</m:t>
          </m:r>
          <m:nary>
            <m:naryPr>
              <m:chr m:val="∑"/>
              <m:limLoc m:val="undOvr"/>
              <m:supHide m:val="1"/>
              <m:ctrlPr>
                <w:rPr>
                  <w:rFonts w:ascii="Cambria Math" w:hAnsi="Cambria Math"/>
                  <w:i/>
                  <w:sz w:val="22"/>
                  <w:highlight w:val="none"/>
                </w:rPr>
              </m:ctrlPr>
            </m:naryPr>
            <m:sub>
              <m:r>
                <m:rPr/>
                <w:rPr>
                  <w:rFonts w:ascii="Cambria Math" w:hAnsi="Cambria Math"/>
                  <w:sz w:val="22"/>
                  <w:highlight w:val="none"/>
                </w:rPr>
                <m:t>i</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j</m:t>
                  </m:r>
                  <m:ctrlPr>
                    <w:rPr>
                      <w:rFonts w:ascii="Cambria Math" w:hAnsi="Cambria Math"/>
                      <w:i/>
                      <w:sz w:val="22"/>
                      <w:highlight w:val="none"/>
                    </w:rPr>
                  </m:ctrlPr>
                </m:sub>
                <m:sup>
                  <m:ctrlPr>
                    <w:rPr>
                      <w:rFonts w:ascii="Cambria Math" w:hAnsi="Cambria Math"/>
                      <w:i/>
                      <w:sz w:val="22"/>
                      <w:highlight w:val="none"/>
                    </w:rPr>
                  </m:ctrlPr>
                </m:sup>
                <m:e>
                  <m:nary>
                    <m:naryPr>
                      <m:chr m:val="∑"/>
                      <m:limLoc m:val="undOvr"/>
                      <m:supHide m:val="1"/>
                      <m:ctrlPr>
                        <w:rPr>
                          <w:rFonts w:ascii="Cambria Math" w:hAnsi="Cambria Math"/>
                          <w:i/>
                          <w:sz w:val="22"/>
                          <w:highlight w:val="none"/>
                        </w:rPr>
                      </m:ctrlPr>
                    </m:naryPr>
                    <m:sub>
                      <m:r>
                        <m:rPr/>
                        <w:rPr>
                          <w:rFonts w:ascii="Cambria Math" w:hAnsi="Cambria Math"/>
                          <w:sz w:val="22"/>
                          <w:highlight w:val="none"/>
                        </w:rPr>
                        <m:t>k</m:t>
                      </m:r>
                      <m:ctrlPr>
                        <w:rPr>
                          <w:rFonts w:ascii="Cambria Math" w:hAnsi="Cambria Math"/>
                          <w:i/>
                          <w:sz w:val="22"/>
                          <w:highlight w:val="none"/>
                        </w:rPr>
                      </m:ctrlPr>
                    </m:sub>
                    <m:sup>
                      <m:ctrlPr>
                        <w:rPr>
                          <w:rFonts w:ascii="Cambria Math" w:hAnsi="Cambria Math"/>
                          <w:i/>
                          <w:sz w:val="22"/>
                          <w:highlight w:val="none"/>
                        </w:rPr>
                      </m:ctrlPr>
                    </m:sup>
                    <m:e>
                      <m:sSup>
                        <m:sSupPr>
                          <m:ctrlPr>
                            <w:rPr>
                              <w:rFonts w:ascii="Cambria Math" w:hAnsi="Cambria Math"/>
                              <w:i/>
                              <w:sz w:val="22"/>
                              <w:highlight w:val="none"/>
                            </w:rPr>
                          </m:ctrlPr>
                        </m:sSupPr>
                        <m:e>
                          <m:sSub>
                            <m:sSubPr>
                              <m:ctrlPr>
                                <w:rPr>
                                  <w:rFonts w:ascii="Cambria Math" w:hAnsi="Cambria Math"/>
                                  <w:i/>
                                  <w:sz w:val="22"/>
                                  <w:highlight w:val="none"/>
                                </w:rPr>
                              </m:ctrlPr>
                            </m:sSubPr>
                            <m:e>
                              <m:r>
                                <m:rPr/>
                                <w:rPr>
                                  <w:rFonts w:ascii="Cambria Math" w:hAnsi="Cambria Math"/>
                                  <w:sz w:val="22"/>
                                  <w:highlight w:val="none"/>
                                </w:rPr>
                                <m:t>y</m:t>
                              </m:r>
                              <m:ctrlPr>
                                <w:rPr>
                                  <w:rFonts w:ascii="Cambria Math" w:hAnsi="Cambria Math"/>
                                  <w:i/>
                                  <w:sz w:val="22"/>
                                  <w:highlight w:val="none"/>
                                </w:rPr>
                              </m:ctrlPr>
                            </m:e>
                            <m:sub>
                              <m:r>
                                <m:rPr/>
                                <w:rPr>
                                  <w:rFonts w:ascii="Cambria Math" w:hAnsi="Cambria Math"/>
                                  <w:sz w:val="22"/>
                                  <w:highlight w:val="none"/>
                                </w:rPr>
                                <m:t>ijk</m:t>
                              </m:r>
                              <m:ctrlPr>
                                <w:rPr>
                                  <w:rFonts w:ascii="Cambria Math" w:hAnsi="Cambria Math"/>
                                  <w:i/>
                                  <w:sz w:val="22"/>
                                  <w:highlight w:val="none"/>
                                </w:rPr>
                              </m:ctrlPr>
                            </m:sub>
                          </m:sSub>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r>
                        <m:rPr/>
                        <w:rPr>
                          <w:rFonts w:ascii="Cambria Math" w:hAnsi="Cambria Math"/>
                          <w:sz w:val="22"/>
                          <w:highlight w:val="none"/>
                        </w:rPr>
                        <m:t>−</m:t>
                      </m:r>
                      <m:f>
                        <m:fPr>
                          <m:ctrlPr>
                            <w:rPr>
                              <w:rFonts w:ascii="Cambria Math" w:hAnsi="Cambria Math"/>
                              <w:i/>
                              <w:sz w:val="22"/>
                              <w:highlight w:val="none"/>
                            </w:rPr>
                          </m:ctrlPr>
                        </m:fPr>
                        <m:num>
                          <m:sSup>
                            <m:sSupPr>
                              <m:ctrlPr>
                                <w:rPr>
                                  <w:rFonts w:ascii="Cambria Math" w:hAnsi="Cambria Math"/>
                                  <w:i/>
                                  <w:sz w:val="22"/>
                                  <w:highlight w:val="none"/>
                                </w:rPr>
                              </m:ctrlPr>
                            </m:sSupPr>
                            <m:e>
                              <m:r>
                                <m:rPr/>
                                <w:rPr>
                                  <w:rFonts w:ascii="Cambria Math" w:hAnsi="Cambria Math"/>
                                  <w:sz w:val="22"/>
                                  <w:highlight w:val="none"/>
                                </w:rPr>
                                <m:t>T</m:t>
                              </m:r>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num>
                        <m:den>
                          <m:r>
                            <m:rPr/>
                            <w:rPr>
                              <w:rFonts w:ascii="Cambria Math" w:hAnsi="Cambria Math"/>
                              <w:sz w:val="22"/>
                              <w:highlight w:val="none"/>
                            </w:rPr>
                            <m:t>pqn</m:t>
                          </m:r>
                          <m:ctrlPr>
                            <w:rPr>
                              <w:rFonts w:ascii="Cambria Math" w:hAnsi="Cambria Math"/>
                              <w:i/>
                              <w:sz w:val="22"/>
                              <w:highlight w:val="none"/>
                            </w:rPr>
                          </m:ctrlPr>
                        </m:den>
                      </m:f>
                      <m:r>
                        <m:rPr/>
                        <w:rPr>
                          <w:rFonts w:ascii="Cambria Math" w:hAnsi="Cambria Math"/>
                          <w:sz w:val="22"/>
                          <w:highlight w:val="none"/>
                        </w:rPr>
                        <m:t>=8597.98−</m:t>
                      </m:r>
                      <m:f>
                        <m:fPr>
                          <m:ctrlPr>
                            <w:rPr>
                              <w:rFonts w:ascii="Cambria Math" w:hAnsi="Cambria Math"/>
                              <w:i/>
                              <w:sz w:val="22"/>
                              <w:highlight w:val="none"/>
                            </w:rPr>
                          </m:ctrlPr>
                        </m:fPr>
                        <m:num>
                          <m:sSup>
                            <m:sSupPr>
                              <m:ctrlPr>
                                <w:rPr>
                                  <w:rFonts w:ascii="Cambria Math" w:hAnsi="Cambria Math"/>
                                  <w:sz w:val="22"/>
                                  <w:highlight w:val="none"/>
                                </w:rPr>
                              </m:ctrlPr>
                            </m:sSupPr>
                            <m:e>
                              <m:r>
                                <m:rPr>
                                  <m:sty m:val="p"/>
                                </m:rPr>
                                <w:rPr>
                                  <w:rFonts w:ascii="Cambria Math" w:hAnsi="Cambria Math"/>
                                  <w:sz w:val="22"/>
                                  <w:highlight w:val="none"/>
                                </w:rPr>
                                <m:t>579.85</m:t>
                              </m:r>
                              <m:ctrlPr>
                                <w:rPr>
                                  <w:rFonts w:ascii="Cambria Math" w:hAnsi="Cambria Math"/>
                                  <w:sz w:val="22"/>
                                  <w:highlight w:val="none"/>
                                </w:rPr>
                              </m:ctrlPr>
                            </m:e>
                            <m:sup>
                              <m:r>
                                <m:rPr>
                                  <m:sty m:val="p"/>
                                </m:rPr>
                                <w:rPr>
                                  <w:rFonts w:ascii="Cambria Math" w:hAnsi="Cambria Math"/>
                                  <w:sz w:val="22"/>
                                  <w:highlight w:val="none"/>
                                </w:rPr>
                                <m:t>2</m:t>
                              </m:r>
                              <m:ctrlPr>
                                <w:rPr>
                                  <w:rFonts w:ascii="Cambria Math" w:hAnsi="Cambria Math"/>
                                  <w:sz w:val="22"/>
                                  <w:highlight w:val="none"/>
                                </w:rPr>
                              </m:ctrlPr>
                            </m:sup>
                          </m:sSup>
                          <m:ctrlPr>
                            <w:rPr>
                              <w:rFonts w:ascii="Cambria Math" w:hAnsi="Cambria Math"/>
                              <w:i/>
                              <w:sz w:val="22"/>
                              <w:highlight w:val="none"/>
                            </w:rPr>
                          </m:ctrlPr>
                        </m:num>
                        <m:den>
                          <m:r>
                            <m:rPr/>
                            <w:rPr>
                              <w:rFonts w:ascii="Cambria Math" w:hAnsi="Cambria Math"/>
                              <w:sz w:val="22"/>
                              <w:highlight w:val="none"/>
                            </w:rPr>
                            <m:t>7×2×3</m:t>
                          </m:r>
                          <m:ctrlPr>
                            <w:rPr>
                              <w:rFonts w:ascii="Cambria Math" w:hAnsi="Cambria Math"/>
                              <w:i/>
                              <w:sz w:val="22"/>
                              <w:highlight w:val="none"/>
                            </w:rPr>
                          </m:ctrlPr>
                        </m:den>
                      </m:f>
                      <m:ctrlPr>
                        <w:rPr>
                          <w:rFonts w:ascii="Cambria Math" w:hAnsi="Cambria Math"/>
                          <w:i/>
                          <w:sz w:val="22"/>
                          <w:highlight w:val="none"/>
                        </w:rPr>
                      </m:ctrlPr>
                    </m:e>
                  </m:nary>
                  <m:ctrlPr>
                    <w:rPr>
                      <w:rFonts w:ascii="Cambria Math" w:hAnsi="Cambria Math"/>
                      <w:i/>
                      <w:sz w:val="22"/>
                      <w:highlight w:val="none"/>
                    </w:rPr>
                  </m:ctrlPr>
                </m:e>
              </m:nary>
              <m:ctrlPr>
                <w:rPr>
                  <w:rFonts w:ascii="Cambria Math" w:hAnsi="Cambria Math"/>
                  <w:i/>
                  <w:sz w:val="22"/>
                  <w:highlight w:val="none"/>
                </w:rPr>
              </m:ctrlPr>
            </m:e>
          </m:nary>
          <m:r>
            <m:rPr/>
            <w:rPr>
              <w:rFonts w:ascii="Cambria Math" w:hAnsi="Cambria Math"/>
              <w:sz w:val="22"/>
              <w:highlight w:val="none"/>
            </w:rPr>
            <m:t>=592.60</m:t>
          </m:r>
        </m:oMath>
      </m:oMathPara>
    </w:p>
    <w:p w14:paraId="7479D057">
      <w:pPr>
        <w:widowControl/>
        <w:snapToGrid w:val="0"/>
        <w:spacing w:line="480" w:lineRule="auto"/>
        <w:ind w:firstLine="442"/>
        <w:jc w:val="center"/>
        <w:rPr>
          <w:sz w:val="22"/>
          <w:highlight w:val="none"/>
        </w:rPr>
      </w:pPr>
      <m:oMathPara>
        <m:oMath>
          <m:sSub>
            <m:sSubPr>
              <m:ctrlPr>
                <w:rPr>
                  <w:rFonts w:ascii="Cambria Math" w:hAnsi="Cambria Math"/>
                  <w:i/>
                  <w:sz w:val="22"/>
                  <w:highlight w:val="none"/>
                </w:rPr>
              </m:ctrlPr>
            </m:sSubPr>
            <m:e>
              <m:r>
                <m:rPr/>
                <w:rPr>
                  <w:rFonts w:ascii="Cambria Math" w:hAnsi="Cambria Math"/>
                  <w:sz w:val="22"/>
                  <w:highlight w:val="none"/>
                </w:rPr>
                <m:t>S</m:t>
              </m:r>
              <m:ctrlPr>
                <w:rPr>
                  <w:rFonts w:ascii="Cambria Math" w:hAnsi="Cambria Math"/>
                  <w:i/>
                  <w:sz w:val="22"/>
                  <w:highlight w:val="none"/>
                </w:rPr>
              </m:ctrlPr>
            </m:e>
            <m:sub>
              <m:r>
                <m:rPr>
                  <m:sty m:val="p"/>
                </m:rPr>
                <w:rPr>
                  <w:rFonts w:ascii="Cambria Math" w:hAnsi="Cambria Math"/>
                  <w:sz w:val="22"/>
                  <w:highlight w:val="none"/>
                </w:rPr>
                <m:t>L</m:t>
              </m:r>
              <m:ctrlPr>
                <w:rPr>
                  <w:rFonts w:ascii="Cambria Math" w:hAnsi="Cambria Math"/>
                  <w:i/>
                  <w:sz w:val="22"/>
                  <w:highlight w:val="none"/>
                </w:rPr>
              </m:ctrlPr>
            </m:sub>
          </m:sSub>
          <m:r>
            <m:rPr/>
            <w:rPr>
              <w:rFonts w:ascii="Cambria Math" w:hAnsi="Cambria Math"/>
              <w:sz w:val="22"/>
              <w:highlight w:val="none"/>
            </w:rPr>
            <m:t>=</m:t>
          </m:r>
          <m:nary>
            <m:naryPr>
              <m:chr m:val="∑"/>
              <m:limLoc m:val="undOvr"/>
              <m:supHide m:val="1"/>
              <m:ctrlPr>
                <w:rPr>
                  <w:rFonts w:ascii="Cambria Math" w:hAnsi="Cambria Math"/>
                  <w:i/>
                  <w:sz w:val="22"/>
                  <w:highlight w:val="none"/>
                </w:rPr>
              </m:ctrlPr>
            </m:naryPr>
            <m:sub>
              <m:r>
                <m:rPr/>
                <w:rPr>
                  <w:rFonts w:ascii="Cambria Math" w:hAnsi="Cambria Math"/>
                  <w:sz w:val="22"/>
                  <w:highlight w:val="none"/>
                </w:rPr>
                <m:t>i</m:t>
              </m:r>
              <m:ctrlPr>
                <w:rPr>
                  <w:rFonts w:ascii="Cambria Math" w:hAnsi="Cambria Math"/>
                  <w:i/>
                  <w:sz w:val="22"/>
                  <w:highlight w:val="none"/>
                </w:rPr>
              </m:ctrlPr>
            </m:sub>
            <m:sup>
              <m:ctrlPr>
                <w:rPr>
                  <w:rFonts w:ascii="Cambria Math" w:hAnsi="Cambria Math"/>
                  <w:i/>
                  <w:sz w:val="22"/>
                  <w:highlight w:val="none"/>
                </w:rPr>
              </m:ctrlPr>
            </m:sup>
            <m:e>
              <m:f>
                <m:fPr>
                  <m:ctrlPr>
                    <w:rPr>
                      <w:rFonts w:ascii="Cambria Math" w:hAnsi="Cambria Math"/>
                      <w:i/>
                      <w:sz w:val="22"/>
                      <w:highlight w:val="none"/>
                    </w:rPr>
                  </m:ctrlPr>
                </m:fPr>
                <m:num>
                  <m:sSup>
                    <m:sSupPr>
                      <m:ctrlPr>
                        <w:rPr>
                          <w:rFonts w:ascii="Cambria Math" w:hAnsi="Cambria Math"/>
                          <w:i/>
                          <w:sz w:val="22"/>
                          <w:highlight w:val="none"/>
                        </w:rPr>
                      </m:ctrlPr>
                    </m:sSupPr>
                    <m:e>
                      <m:sSub>
                        <m:sSubPr>
                          <m:ctrlPr>
                            <w:rPr>
                              <w:rFonts w:ascii="Cambria Math" w:hAnsi="Cambria Math"/>
                              <w:i/>
                              <w:sz w:val="22"/>
                              <w:highlight w:val="none"/>
                            </w:rPr>
                          </m:ctrlPr>
                        </m:sSubPr>
                        <m:e>
                          <m:r>
                            <m:rPr/>
                            <w:rPr>
                              <w:rFonts w:ascii="Cambria Math" w:hAnsi="Cambria Math"/>
                              <w:sz w:val="22"/>
                              <w:highlight w:val="none"/>
                            </w:rPr>
                            <m:t>T</m:t>
                          </m:r>
                          <m:ctrlPr>
                            <w:rPr>
                              <w:rFonts w:ascii="Cambria Math" w:hAnsi="Cambria Math"/>
                              <w:i/>
                              <w:sz w:val="22"/>
                              <w:highlight w:val="none"/>
                            </w:rPr>
                          </m:ctrlPr>
                        </m:e>
                        <m:sub>
                          <m:r>
                            <m:rPr/>
                            <w:rPr>
                              <w:rFonts w:ascii="Cambria Math" w:hAnsi="Cambria Math"/>
                              <w:sz w:val="22"/>
                              <w:highlight w:val="none"/>
                            </w:rPr>
                            <m:t>i</m:t>
                          </m:r>
                          <m:ctrlPr>
                            <w:rPr>
                              <w:rFonts w:ascii="Cambria Math" w:hAnsi="Cambria Math"/>
                              <w:i/>
                              <w:sz w:val="22"/>
                              <w:highlight w:val="none"/>
                            </w:rPr>
                          </m:ctrlPr>
                        </m:sub>
                      </m:sSub>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num>
                <m:den>
                  <m:r>
                    <m:rPr/>
                    <w:rPr>
                      <w:rFonts w:ascii="Cambria Math" w:hAnsi="Cambria Math"/>
                      <w:sz w:val="22"/>
                      <w:highlight w:val="none"/>
                    </w:rPr>
                    <m:t>qn</m:t>
                  </m:r>
                  <m:ctrlPr>
                    <w:rPr>
                      <w:rFonts w:ascii="Cambria Math" w:hAnsi="Cambria Math"/>
                      <w:i/>
                      <w:sz w:val="22"/>
                      <w:highlight w:val="none"/>
                    </w:rPr>
                  </m:ctrlPr>
                </m:den>
              </m:f>
              <m:ctrlPr>
                <w:rPr>
                  <w:rFonts w:ascii="Cambria Math" w:hAnsi="Cambria Math"/>
                  <w:i/>
                  <w:sz w:val="22"/>
                  <w:highlight w:val="none"/>
                </w:rPr>
              </m:ctrlPr>
            </m:e>
          </m:nary>
          <m:r>
            <m:rPr/>
            <w:rPr>
              <w:rFonts w:ascii="Cambria Math" w:hAnsi="Cambria Math"/>
              <w:sz w:val="22"/>
              <w:highlight w:val="none"/>
            </w:rPr>
            <m:t>−</m:t>
          </m:r>
          <m:f>
            <m:fPr>
              <m:ctrlPr>
                <w:rPr>
                  <w:rFonts w:ascii="Cambria Math" w:hAnsi="Cambria Math"/>
                  <w:i/>
                  <w:sz w:val="22"/>
                  <w:highlight w:val="none"/>
                </w:rPr>
              </m:ctrlPr>
            </m:fPr>
            <m:num>
              <m:sSup>
                <m:sSupPr>
                  <m:ctrlPr>
                    <w:rPr>
                      <w:rFonts w:ascii="Cambria Math" w:hAnsi="Cambria Math"/>
                      <w:i/>
                      <w:sz w:val="22"/>
                      <w:highlight w:val="none"/>
                    </w:rPr>
                  </m:ctrlPr>
                </m:sSupPr>
                <m:e>
                  <m:r>
                    <m:rPr/>
                    <w:rPr>
                      <w:rFonts w:ascii="Cambria Math" w:hAnsi="Cambria Math"/>
                      <w:sz w:val="22"/>
                      <w:highlight w:val="none"/>
                    </w:rPr>
                    <m:t>T</m:t>
                  </m:r>
                  <m:ctrlPr>
                    <w:rPr>
                      <w:rFonts w:ascii="Cambria Math" w:hAnsi="Cambria Math"/>
                      <w:i/>
                      <w:sz w:val="22"/>
                      <w:highlight w:val="none"/>
                    </w:rPr>
                  </m:ctrlPr>
                </m:e>
                <m:sup>
                  <m:r>
                    <m:rPr/>
                    <w:rPr>
                      <w:rFonts w:ascii="Cambria Math" w:hAnsi="Cambria Math"/>
                      <w:sz w:val="22"/>
                      <w:highlight w:val="none"/>
                    </w:rPr>
                    <m:t>2</m:t>
                  </m:r>
                  <m:ctrlPr>
                    <w:rPr>
                      <w:rFonts w:ascii="Cambria Math" w:hAnsi="Cambria Math"/>
                      <w:i/>
                      <w:sz w:val="22"/>
                      <w:highlight w:val="none"/>
                    </w:rPr>
                  </m:ctrlPr>
                </m:sup>
              </m:sSup>
              <m:ctrlPr>
                <w:rPr>
                  <w:rFonts w:ascii="Cambria Math" w:hAnsi="Cambria Math"/>
                  <w:i/>
                  <w:sz w:val="22"/>
                  <w:highlight w:val="none"/>
                </w:rPr>
              </m:ctrlPr>
            </m:num>
            <m:den>
              <m:r>
                <m:rPr/>
                <w:rPr>
                  <w:rFonts w:ascii="Cambria Math" w:hAnsi="Cambria Math"/>
                  <w:sz w:val="22"/>
                  <w:highlight w:val="none"/>
                </w:rPr>
                <m:t>pqn</m:t>
              </m:r>
              <m:ctrlPr>
                <w:rPr>
                  <w:rFonts w:ascii="Cambria Math" w:hAnsi="Cambria Math"/>
                  <w:i/>
                  <w:sz w:val="22"/>
                  <w:highlight w:val="none"/>
                </w:rPr>
              </m:ctrlPr>
            </m:den>
          </m:f>
          <m:r>
            <m:rPr/>
            <w:rPr>
              <w:rFonts w:ascii="Cambria Math" w:hAnsi="Cambria Math"/>
              <w:sz w:val="22"/>
              <w:highlight w:val="none"/>
            </w:rPr>
            <m:t>=</m:t>
          </m:r>
          <m:f>
            <m:fPr>
              <m:ctrlPr>
                <w:rPr>
                  <w:rFonts w:ascii="Cambria Math" w:hAnsi="Cambria Math"/>
                  <w:i/>
                  <w:sz w:val="22"/>
                  <w:highlight w:val="none"/>
                </w:rPr>
              </m:ctrlPr>
            </m:fPr>
            <m:num>
              <m:r>
                <m:rPr/>
                <w:rPr>
                  <w:rFonts w:ascii="Cambria Math" w:hAnsi="Cambria Math"/>
                  <w:sz w:val="22"/>
                  <w:highlight w:val="none"/>
                </w:rPr>
                <m:t>51513.46</m:t>
              </m:r>
              <m:ctrlPr>
                <w:rPr>
                  <w:rFonts w:ascii="Cambria Math" w:hAnsi="Cambria Math"/>
                  <w:i/>
                  <w:sz w:val="22"/>
                  <w:highlight w:val="none"/>
                </w:rPr>
              </m:ctrlPr>
            </m:num>
            <m:den>
              <m:r>
                <m:rPr/>
                <w:rPr>
                  <w:rFonts w:ascii="Cambria Math" w:hAnsi="Cambria Math"/>
                  <w:sz w:val="22"/>
                  <w:highlight w:val="none"/>
                </w:rPr>
                <m:t>2×3</m:t>
              </m:r>
              <m:ctrlPr>
                <w:rPr>
                  <w:rFonts w:ascii="Cambria Math" w:hAnsi="Cambria Math"/>
                  <w:i/>
                  <w:sz w:val="22"/>
                  <w:highlight w:val="none"/>
                </w:rPr>
              </m:ctrlPr>
            </m:den>
          </m:f>
          <m:r>
            <m:rPr/>
            <w:rPr>
              <w:rFonts w:ascii="Cambria Math" w:hAnsi="Cambria Math"/>
              <w:sz w:val="22"/>
              <w:highlight w:val="none"/>
            </w:rPr>
            <m:t>−</m:t>
          </m:r>
          <m:f>
            <m:fPr>
              <m:ctrlPr>
                <w:rPr>
                  <w:rFonts w:ascii="Cambria Math" w:hAnsi="Cambria Math"/>
                  <w:i/>
                  <w:sz w:val="22"/>
                  <w:highlight w:val="none"/>
                </w:rPr>
              </m:ctrlPr>
            </m:fPr>
            <m:num>
              <m:sSup>
                <m:sSupPr>
                  <m:ctrlPr>
                    <w:rPr>
                      <w:rFonts w:ascii="Cambria Math" w:hAnsi="Cambria Math"/>
                      <w:sz w:val="22"/>
                      <w:highlight w:val="none"/>
                    </w:rPr>
                  </m:ctrlPr>
                </m:sSupPr>
                <m:e>
                  <m:r>
                    <m:rPr>
                      <m:sty m:val="p"/>
                    </m:rPr>
                    <w:rPr>
                      <w:rFonts w:ascii="Cambria Math" w:hAnsi="Cambria Math"/>
                      <w:sz w:val="22"/>
                      <w:highlight w:val="none"/>
                    </w:rPr>
                    <m:t>579.85</m:t>
                  </m:r>
                  <m:ctrlPr>
                    <w:rPr>
                      <w:rFonts w:ascii="Cambria Math" w:hAnsi="Cambria Math"/>
                      <w:sz w:val="22"/>
                      <w:highlight w:val="none"/>
                    </w:rPr>
                  </m:ctrlPr>
                </m:e>
                <m:sup>
                  <m:r>
                    <m:rPr>
                      <m:sty m:val="p"/>
                    </m:rPr>
                    <w:rPr>
                      <w:rFonts w:ascii="Cambria Math" w:hAnsi="Cambria Math"/>
                      <w:sz w:val="22"/>
                      <w:highlight w:val="none"/>
                    </w:rPr>
                    <m:t>2</m:t>
                  </m:r>
                  <m:ctrlPr>
                    <w:rPr>
                      <w:rFonts w:ascii="Cambria Math" w:hAnsi="Cambria Math"/>
                      <w:sz w:val="22"/>
                      <w:highlight w:val="none"/>
                    </w:rPr>
                  </m:ctrlPr>
                </m:sup>
              </m:sSup>
              <m:ctrlPr>
                <w:rPr>
                  <w:rFonts w:ascii="Cambria Math" w:hAnsi="Cambria Math"/>
                  <w:i/>
                  <w:sz w:val="22"/>
                  <w:highlight w:val="none"/>
                </w:rPr>
              </m:ctrlPr>
            </m:num>
            <m:den>
              <m:r>
                <m:rPr/>
                <w:rPr>
                  <w:rFonts w:ascii="Cambria Math" w:hAnsi="Cambria Math"/>
                  <w:sz w:val="22"/>
                  <w:highlight w:val="none"/>
                </w:rPr>
                <m:t>7×2×3</m:t>
              </m:r>
              <m:ctrlPr>
                <w:rPr>
                  <w:rFonts w:ascii="Cambria Math" w:hAnsi="Cambria Math"/>
                  <w:i/>
                  <w:sz w:val="22"/>
                  <w:highlight w:val="none"/>
                </w:rPr>
              </m:ctrlPr>
            </m:den>
          </m:f>
          <m:r>
            <m:rPr/>
            <w:rPr>
              <w:rFonts w:ascii="Cambria Math" w:hAnsi="Cambria Math"/>
              <w:sz w:val="22"/>
              <w:highlight w:val="none"/>
            </w:rPr>
            <m:t>=580.20</m:t>
          </m:r>
        </m:oMath>
      </m:oMathPara>
    </w:p>
    <w:p w14:paraId="023BC2C0">
      <w:pPr>
        <w:widowControl/>
        <w:snapToGrid w:val="0"/>
        <w:spacing w:line="480" w:lineRule="auto"/>
        <w:ind w:firstLine="442"/>
        <w:jc w:val="center"/>
        <w:rPr>
          <w:b/>
          <w:color w:val="000000" w:themeColor="text1"/>
          <w:sz w:val="22"/>
          <w:highlight w:val="none"/>
          <w14:textFill>
            <w14:solidFill>
              <w14:schemeClr w14:val="tx1"/>
            </w14:solidFill>
          </w14:textFill>
        </w:rPr>
      </w:pPr>
      <m:oMathPara>
        <m:oMath>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j</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f>
                    <m:fPr>
                      <m:ctrlPr>
                        <w:rPr>
                          <w:rFonts w:ascii="Cambria Math" w:hAnsi="Cambria Math"/>
                          <w:i/>
                          <w:color w:val="000000" w:themeColor="text1"/>
                          <w:sz w:val="22"/>
                          <w:highlight w:val="none"/>
                          <w14:textFill>
                            <w14:solidFill>
                              <w14:schemeClr w14:val="tx1"/>
                            </w14:solidFill>
                          </w14:textFill>
                        </w:rPr>
                      </m:ctrlPr>
                    </m:fPr>
                    <m:num>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T</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ij</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n</m:t>
                      </m:r>
                      <m:ctrlPr>
                        <w:rPr>
                          <w:rFonts w:ascii="Cambria Math" w:hAnsi="Cambria Math"/>
                          <w:i/>
                          <w:color w:val="000000" w:themeColor="text1"/>
                          <w:sz w:val="22"/>
                          <w:highlight w:val="none"/>
                          <w14:textFill>
                            <w14:solidFill>
                              <w14:schemeClr w14:val="tx1"/>
                            </w14:solidFill>
                          </w14:textFill>
                        </w:rPr>
                      </m:ctrlPr>
                    </m:den>
                  </m:f>
                  <m:ctrlPr>
                    <w:rPr>
                      <w:rFonts w:ascii="Cambria Math" w:hAnsi="Cambria Math"/>
                      <w:i/>
                      <w:color w:val="000000" w:themeColor="text1"/>
                      <w:sz w:val="22"/>
                      <w:highlight w:val="none"/>
                      <w14:textFill>
                        <w14:solidFill>
                          <w14:schemeClr w14:val="tx1"/>
                        </w14:solidFill>
                      </w14:textFill>
                    </w:rPr>
                  </m:ctrlPr>
                </m:e>
              </m:nary>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f>
                    <m:fPr>
                      <m:ctrlPr>
                        <w:rPr>
                          <w:rFonts w:ascii="Cambria Math" w:hAnsi="Cambria Math"/>
                          <w:i/>
                          <w:color w:val="000000" w:themeColor="text1"/>
                          <w:sz w:val="22"/>
                          <w:highlight w:val="none"/>
                          <w14:textFill>
                            <w14:solidFill>
                              <w14:schemeClr w14:val="tx1"/>
                            </w14:solidFill>
                          </w14:textFill>
                        </w:rPr>
                      </m:ctrlPr>
                    </m:fPr>
                    <m:num>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T</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qn</m:t>
                      </m:r>
                      <m:ctrlPr>
                        <w:rPr>
                          <w:rFonts w:ascii="Cambria Math" w:hAnsi="Cambria Math"/>
                          <w:i/>
                          <w:color w:val="000000" w:themeColor="text1"/>
                          <w:sz w:val="22"/>
                          <w:highlight w:val="none"/>
                          <w14:textFill>
                            <w14:solidFill>
                              <w14:schemeClr w14:val="tx1"/>
                            </w14:solidFill>
                          </w14:textFill>
                        </w:rPr>
                      </m:ctrlPr>
                    </m:den>
                  </m:f>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25763.36</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3</m:t>
              </m:r>
              <m:ctrlPr>
                <w:rPr>
                  <w:rFonts w:ascii="Cambria Math" w:hAnsi="Cambria Math"/>
                  <w:i/>
                  <w:color w:val="000000" w:themeColor="text1"/>
                  <w:sz w:val="22"/>
                  <w:highlight w:val="none"/>
                  <w14:textFill>
                    <w14:solidFill>
                      <w14:schemeClr w14:val="tx1"/>
                    </w14:solidFill>
                  </w14:textFill>
                </w:rPr>
              </m:ctrlPr>
            </m:den>
          </m:f>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sz w:val="22"/>
                  <w:highlight w:val="none"/>
                </w:rPr>
                <m:t>51513.46</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2×3</m:t>
              </m:r>
              <m:ctrlPr>
                <w:rPr>
                  <w:rFonts w:ascii="Cambria Math" w:hAnsi="Cambria Math"/>
                  <w:i/>
                  <w:color w:val="000000" w:themeColor="text1"/>
                  <w:sz w:val="22"/>
                  <w:highlight w:val="none"/>
                  <w14:textFill>
                    <w14:solidFill>
                      <w14:schemeClr w14:val="tx1"/>
                    </w14:solidFill>
                  </w14:textFill>
                </w:rPr>
              </m:ctrlPr>
            </m:den>
          </m:f>
          <m:r>
            <m:rPr/>
            <w:rPr>
              <w:rFonts w:ascii="Cambria Math" w:hAnsi="Cambria Math"/>
              <w:color w:val="000000" w:themeColor="text1"/>
              <w:sz w:val="22"/>
              <w:highlight w:val="none"/>
              <w14:textFill>
                <w14:solidFill>
                  <w14:schemeClr w14:val="tx1"/>
                </w14:solidFill>
              </w14:textFill>
            </w:rPr>
            <m:t>=2.21</m:t>
          </m:r>
        </m:oMath>
      </m:oMathPara>
    </w:p>
    <w:p w14:paraId="74EA7C6E">
      <w:pPr>
        <w:widowControl/>
        <w:snapToGrid w:val="0"/>
        <w:spacing w:line="480" w:lineRule="auto"/>
        <w:ind w:firstLine="442"/>
        <w:jc w:val="center"/>
        <w:rPr>
          <w:color w:val="000000" w:themeColor="text1"/>
          <w:sz w:val="22"/>
          <w:highlight w:val="none"/>
          <w14:textFill>
            <w14:solidFill>
              <w14:schemeClr w14:val="tx1"/>
            </w14:solidFill>
          </w14:textFill>
        </w:rPr>
      </w:pPr>
      <m:oMathPara>
        <m:oMath>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j</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k</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y</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ijk</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r>
                        <m:rPr/>
                        <w:rPr>
                          <w:rFonts w:ascii="Cambria Math" w:hAnsi="Cambria Math"/>
                          <w:color w:val="000000" w:themeColor="text1"/>
                          <w:sz w:val="22"/>
                          <w:highlight w:val="none"/>
                          <w14:textFill>
                            <w14:solidFill>
                              <w14:schemeClr w14:val="tx1"/>
                            </w14:solidFill>
                          </w14:textFill>
                        </w:rPr>
                        <m:t>−</m:t>
                      </m:r>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i</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nary>
                            <m:naryPr>
                              <m:chr m:val="∑"/>
                              <m:limLoc m:val="undOvr"/>
                              <m:supHide m:val="1"/>
                              <m:ctrlPr>
                                <w:rPr>
                                  <w:rFonts w:ascii="Cambria Math" w:hAnsi="Cambria Math"/>
                                  <w:i/>
                                  <w:color w:val="000000" w:themeColor="text1"/>
                                  <w:sz w:val="22"/>
                                  <w:highlight w:val="none"/>
                                  <w14:textFill>
                                    <w14:solidFill>
                                      <w14:schemeClr w14:val="tx1"/>
                                    </w14:solidFill>
                                  </w14:textFill>
                                </w:rPr>
                              </m:ctrlPr>
                            </m:naryPr>
                            <m:sub>
                              <m:r>
                                <m:rPr/>
                                <w:rPr>
                                  <w:rFonts w:ascii="Cambria Math" w:hAnsi="Cambria Math"/>
                                  <w:color w:val="000000" w:themeColor="text1"/>
                                  <w:sz w:val="22"/>
                                  <w:highlight w:val="none"/>
                                  <w14:textFill>
                                    <w14:solidFill>
                                      <w14:schemeClr w14:val="tx1"/>
                                    </w14:solidFill>
                                  </w14:textFill>
                                </w:rPr>
                                <m:t>j</m:t>
                              </m:r>
                              <m:ctrlPr>
                                <w:rPr>
                                  <w:rFonts w:ascii="Cambria Math" w:hAnsi="Cambria Math"/>
                                  <w:i/>
                                  <w:color w:val="000000" w:themeColor="text1"/>
                                  <w:sz w:val="22"/>
                                  <w:highlight w:val="none"/>
                                  <w14:textFill>
                                    <w14:solidFill>
                                      <w14:schemeClr w14:val="tx1"/>
                                    </w14:solidFill>
                                  </w14:textFill>
                                </w:rPr>
                              </m:ctrlPr>
                            </m:sub>
                            <m:sup>
                              <m:ctrlPr>
                                <w:rPr>
                                  <w:rFonts w:ascii="Cambria Math" w:hAnsi="Cambria Math"/>
                                  <w:i/>
                                  <w:color w:val="000000" w:themeColor="text1"/>
                                  <w:sz w:val="22"/>
                                  <w:highlight w:val="none"/>
                                  <w14:textFill>
                                    <w14:solidFill>
                                      <w14:schemeClr w14:val="tx1"/>
                                    </w14:solidFill>
                                  </w14:textFill>
                                </w:rPr>
                              </m:ctrlPr>
                            </m:sup>
                            <m:e>
                              <m:f>
                                <m:fPr>
                                  <m:ctrlPr>
                                    <w:rPr>
                                      <w:rFonts w:ascii="Cambria Math" w:hAnsi="Cambria Math"/>
                                      <w:i/>
                                      <w:color w:val="000000" w:themeColor="text1"/>
                                      <w:sz w:val="22"/>
                                      <w:highlight w:val="none"/>
                                      <w14:textFill>
                                        <w14:solidFill>
                                          <w14:schemeClr w14:val="tx1"/>
                                        </w14:solidFill>
                                      </w14:textFill>
                                    </w:rPr>
                                  </m:ctrlPr>
                                </m:fPr>
                                <m:num>
                                  <m:sSup>
                                    <m:sSupPr>
                                      <m:ctrlPr>
                                        <w:rPr>
                                          <w:rFonts w:ascii="Cambria Math" w:hAnsi="Cambria Math"/>
                                          <w:i/>
                                          <w:color w:val="000000" w:themeColor="text1"/>
                                          <w:sz w:val="22"/>
                                          <w:highlight w:val="none"/>
                                          <w14:textFill>
                                            <w14:solidFill>
                                              <w14:schemeClr w14:val="tx1"/>
                                            </w14:solidFill>
                                          </w14:textFill>
                                        </w:rPr>
                                      </m:ctrlPr>
                                    </m:sSup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T</m:t>
                                          </m:r>
                                          <m:ctrlPr>
                                            <w:rPr>
                                              <w:rFonts w:ascii="Cambria Math" w:hAnsi="Cambria Math"/>
                                              <w:i/>
                                              <w:color w:val="000000" w:themeColor="text1"/>
                                              <w:sz w:val="22"/>
                                              <w:highlight w:val="none"/>
                                              <w14:textFill>
                                                <w14:solidFill>
                                                  <w14:schemeClr w14:val="tx1"/>
                                                </w14:solidFill>
                                              </w14:textFill>
                                            </w:rPr>
                                          </m:ctrlPr>
                                        </m:e>
                                        <m:sub>
                                          <m:r>
                                            <m:rPr/>
                                            <w:rPr>
                                              <w:rFonts w:ascii="Cambria Math" w:hAnsi="Cambria Math"/>
                                              <w:color w:val="000000" w:themeColor="text1"/>
                                              <w:sz w:val="22"/>
                                              <w:highlight w:val="none"/>
                                              <w14:textFill>
                                                <w14:solidFill>
                                                  <w14:schemeClr w14:val="tx1"/>
                                                </w14:solidFill>
                                              </w14:textFill>
                                            </w:rPr>
                                            <m:t>ij</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p>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n</m:t>
                                  </m:r>
                                  <m:ctrlPr>
                                    <w:rPr>
                                      <w:rFonts w:ascii="Cambria Math" w:hAnsi="Cambria Math"/>
                                      <w:i/>
                                      <w:color w:val="000000" w:themeColor="text1"/>
                                      <w:sz w:val="22"/>
                                      <w:highlight w:val="none"/>
                                      <w14:textFill>
                                        <w14:solidFill>
                                          <w14:schemeClr w14:val="tx1"/>
                                        </w14:solidFill>
                                      </w14:textFill>
                                    </w:rPr>
                                  </m:ctrlPr>
                                </m:den>
                              </m:f>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ctrlPr>
                <w:rPr>
                  <w:rFonts w:ascii="Cambria Math" w:hAnsi="Cambria Math"/>
                  <w:i/>
                  <w:color w:val="000000" w:themeColor="text1"/>
                  <w:sz w:val="22"/>
                  <w:highlight w:val="none"/>
                  <w14:textFill>
                    <w14:solidFill>
                      <w14:schemeClr w14:val="tx1"/>
                    </w14:solidFill>
                  </w14:textFill>
                </w:rPr>
              </m:ctrlPr>
            </m:e>
          </m:nary>
          <m:r>
            <m:rPr/>
            <w:rPr>
              <w:rFonts w:ascii="Cambria Math" w:hAnsi="Cambria Math"/>
              <w:color w:val="000000" w:themeColor="text1"/>
              <w:sz w:val="22"/>
              <w:highlight w:val="none"/>
              <w14:textFill>
                <w14:solidFill>
                  <w14:schemeClr w14:val="tx1"/>
                </w14:solidFill>
              </w14:textFill>
            </w:rPr>
            <m:t>=</m:t>
          </m:r>
          <m:r>
            <m:rPr/>
            <w:rPr>
              <w:rFonts w:ascii="Cambria Math" w:hAnsi="Cambria Math"/>
              <w:sz w:val="22"/>
              <w:highlight w:val="none"/>
            </w:rPr>
            <m:t>8597.98</m:t>
          </m:r>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25763.36</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3</m:t>
              </m:r>
              <m:ctrlPr>
                <w:rPr>
                  <w:rFonts w:ascii="Cambria Math" w:hAnsi="Cambria Math"/>
                  <w:i/>
                  <w:color w:val="000000" w:themeColor="text1"/>
                  <w:sz w:val="22"/>
                  <w:highlight w:val="none"/>
                  <w14:textFill>
                    <w14:solidFill>
                      <w14:schemeClr w14:val="tx1"/>
                    </w14:solidFill>
                  </w14:textFill>
                </w:rPr>
              </m:ctrlPr>
            </m:den>
          </m:f>
          <m:r>
            <m:rPr/>
            <w:rPr>
              <w:rFonts w:ascii="Cambria Math" w:hAnsi="Cambria Math"/>
              <w:color w:val="000000" w:themeColor="text1"/>
              <w:sz w:val="22"/>
              <w:highlight w:val="none"/>
              <w14:textFill>
                <w14:solidFill>
                  <w14:schemeClr w14:val="tx1"/>
                </w14:solidFill>
              </w14:textFill>
            </w:rPr>
            <m:t>=10.19</m:t>
          </m:r>
        </m:oMath>
      </m:oMathPara>
    </w:p>
    <w:p w14:paraId="1061CCD0">
      <w:pPr>
        <w:jc w:val="center"/>
        <w:rPr>
          <w:rFonts w:eastAsia="黑体"/>
          <w:bCs/>
          <w:highlight w:val="none"/>
        </w:rPr>
      </w:pPr>
    </w:p>
    <w:p w14:paraId="05BC0577">
      <w:pPr>
        <w:jc w:val="center"/>
        <w:rPr>
          <w:rFonts w:eastAsia="黑体"/>
          <w:bCs/>
          <w:highlight w:val="none"/>
        </w:rPr>
      </w:pPr>
    </w:p>
    <w:p w14:paraId="70F30C57">
      <w:pPr>
        <w:jc w:val="center"/>
        <w:rPr>
          <w:rFonts w:eastAsia="黑体"/>
          <w:bCs/>
          <w:highlight w:val="none"/>
        </w:rPr>
      </w:pPr>
      <w:r>
        <w:rPr>
          <w:rFonts w:eastAsia="黑体"/>
          <w:bCs/>
          <w:highlight w:val="none"/>
        </w:rPr>
        <w:t>表1</w:t>
      </w:r>
      <w:r>
        <w:rPr>
          <w:rFonts w:hint="eastAsia" w:eastAsia="黑体"/>
          <w:bCs/>
          <w:highlight w:val="none"/>
        </w:rPr>
        <w:t>2</w:t>
      </w:r>
      <w:r>
        <w:rPr>
          <w:rFonts w:eastAsia="黑体"/>
          <w:bCs/>
          <w:highlight w:val="none"/>
        </w:rPr>
        <w:t>样品C的ANOVA表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8"/>
        <w:gridCol w:w="1818"/>
        <w:gridCol w:w="1818"/>
        <w:gridCol w:w="1818"/>
        <w:gridCol w:w="2014"/>
      </w:tblGrid>
      <w:tr w14:paraId="3312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vAlign w:val="center"/>
          </w:tcPr>
          <w:p w14:paraId="0C85B833">
            <w:pPr>
              <w:jc w:val="center"/>
              <w:rPr>
                <w:rFonts w:eastAsiaTheme="minorEastAsia"/>
                <w:szCs w:val="21"/>
                <w:highlight w:val="none"/>
              </w:rPr>
            </w:pPr>
          </w:p>
        </w:tc>
        <w:tc>
          <w:tcPr>
            <w:tcW w:w="979" w:type="pct"/>
            <w:vAlign w:val="center"/>
          </w:tcPr>
          <w:p w14:paraId="2B2BD5A8">
            <w:pPr>
              <w:jc w:val="center"/>
              <w:rPr>
                <w:rFonts w:eastAsiaTheme="minorEastAsia"/>
                <w:szCs w:val="21"/>
                <w:highlight w:val="none"/>
              </w:rPr>
            </w:pPr>
            <w:r>
              <w:rPr>
                <w:rFonts w:eastAsiaTheme="minorEastAsia"/>
                <w:szCs w:val="21"/>
                <w:highlight w:val="none"/>
              </w:rPr>
              <w:t>平方和</w:t>
            </w:r>
          </w:p>
        </w:tc>
        <w:tc>
          <w:tcPr>
            <w:tcW w:w="979" w:type="pct"/>
            <w:vAlign w:val="center"/>
          </w:tcPr>
          <w:p w14:paraId="4BE617A1">
            <w:pPr>
              <w:jc w:val="center"/>
              <w:rPr>
                <w:rFonts w:eastAsiaTheme="minorEastAsia"/>
                <w:szCs w:val="21"/>
                <w:highlight w:val="none"/>
              </w:rPr>
            </w:pPr>
            <w:r>
              <w:rPr>
                <w:rFonts w:eastAsiaTheme="minorEastAsia"/>
                <w:szCs w:val="21"/>
                <w:highlight w:val="none"/>
              </w:rPr>
              <w:t>自由度</w:t>
            </w:r>
          </w:p>
        </w:tc>
        <w:tc>
          <w:tcPr>
            <w:tcW w:w="979" w:type="pct"/>
            <w:vAlign w:val="center"/>
          </w:tcPr>
          <w:p w14:paraId="6C34BDC5">
            <w:pPr>
              <w:jc w:val="center"/>
              <w:rPr>
                <w:rFonts w:eastAsiaTheme="minorEastAsia"/>
                <w:szCs w:val="21"/>
                <w:highlight w:val="none"/>
              </w:rPr>
            </w:pPr>
            <w:r>
              <w:rPr>
                <w:rFonts w:eastAsiaTheme="minorEastAsia"/>
                <w:szCs w:val="21"/>
                <w:highlight w:val="none"/>
              </w:rPr>
              <w:t>均方</w:t>
            </w:r>
          </w:p>
        </w:tc>
        <w:tc>
          <w:tcPr>
            <w:tcW w:w="1085" w:type="pct"/>
            <w:vAlign w:val="center"/>
          </w:tcPr>
          <w:p w14:paraId="1E62BDAC">
            <w:pPr>
              <w:jc w:val="center"/>
              <w:rPr>
                <w:rFonts w:eastAsiaTheme="minorEastAsia"/>
                <w:szCs w:val="21"/>
                <w:highlight w:val="none"/>
              </w:rPr>
            </w:pPr>
            <w:r>
              <w:rPr>
                <w:rFonts w:eastAsiaTheme="minorEastAsia"/>
                <w:szCs w:val="21"/>
                <w:highlight w:val="none"/>
              </w:rPr>
              <w:t>预期平均值</w:t>
            </w:r>
          </w:p>
        </w:tc>
      </w:tr>
      <w:tr w14:paraId="0208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vAlign w:val="center"/>
          </w:tcPr>
          <w:p w14:paraId="6316EF04">
            <w:pPr>
              <w:jc w:val="center"/>
              <w:rPr>
                <w:rFonts w:eastAsiaTheme="minorEastAsia"/>
                <w:szCs w:val="21"/>
                <w:highlight w:val="none"/>
              </w:rPr>
            </w:pPr>
            <w:bookmarkStart w:id="46" w:name="_Hlk207204437"/>
            <w:r>
              <w:rPr>
                <w:rFonts w:eastAsiaTheme="minorEastAsia"/>
                <w:szCs w:val="21"/>
                <w:highlight w:val="none"/>
              </w:rPr>
              <w:t>实验室</w:t>
            </w:r>
          </w:p>
        </w:tc>
        <w:tc>
          <w:tcPr>
            <w:tcW w:w="979" w:type="pct"/>
            <w:vAlign w:val="center"/>
          </w:tcPr>
          <w:p w14:paraId="4BC820D4">
            <w:pPr>
              <w:jc w:val="center"/>
              <w:rPr>
                <w:rFonts w:eastAsiaTheme="minorEastAsia"/>
                <w:szCs w:val="21"/>
                <w:highlight w:val="none"/>
              </w:rPr>
            </w:pPr>
            <w:r>
              <w:rPr>
                <w:rFonts w:eastAsiaTheme="minorEastAsia"/>
                <w:szCs w:val="21"/>
                <w:highlight w:val="none"/>
              </w:rPr>
              <w:t>580.20</w:t>
            </w:r>
          </w:p>
        </w:tc>
        <w:tc>
          <w:tcPr>
            <w:tcW w:w="979" w:type="pct"/>
            <w:vAlign w:val="center"/>
          </w:tcPr>
          <w:p w14:paraId="6DFC00CC">
            <w:pPr>
              <w:jc w:val="center"/>
              <w:rPr>
                <w:rFonts w:eastAsiaTheme="minorEastAsia"/>
                <w:szCs w:val="21"/>
                <w:highlight w:val="none"/>
              </w:rPr>
            </w:pPr>
            <w:r>
              <w:rPr>
                <w:rFonts w:eastAsiaTheme="minorEastAsia"/>
                <w:szCs w:val="21"/>
                <w:highlight w:val="none"/>
              </w:rPr>
              <w:t>6</w:t>
            </w:r>
          </w:p>
        </w:tc>
        <w:tc>
          <w:tcPr>
            <w:tcW w:w="979" w:type="pct"/>
            <w:vAlign w:val="center"/>
          </w:tcPr>
          <w:p w14:paraId="34C2F1B5">
            <w:pPr>
              <w:jc w:val="center"/>
              <w:rPr>
                <w:rFonts w:eastAsiaTheme="minorEastAsia"/>
                <w:szCs w:val="21"/>
                <w:highlight w:val="none"/>
              </w:rPr>
            </w:pPr>
            <w:r>
              <w:rPr>
                <w:rFonts w:eastAsiaTheme="minorEastAsia"/>
                <w:szCs w:val="21"/>
                <w:highlight w:val="none"/>
              </w:rPr>
              <w:t>96.70</w:t>
            </w:r>
          </w:p>
        </w:tc>
        <w:tc>
          <w:tcPr>
            <w:tcW w:w="1085" w:type="pct"/>
            <w:vAlign w:val="center"/>
          </w:tcPr>
          <w:p w14:paraId="52FF01E1">
            <w:pPr>
              <w:jc w:val="center"/>
              <w:rPr>
                <w:rFonts w:eastAsiaTheme="minorEastAsia"/>
                <w:szCs w:val="21"/>
                <w:highlight w:val="none"/>
              </w:rPr>
            </w:pPr>
            <w:r>
              <w:rPr>
                <w:rFonts w:eastAsiaTheme="minorEastAsia"/>
                <w:szCs w:val="21"/>
                <w:highlight w:val="none"/>
              </w:rPr>
              <w:t>96.70</w:t>
            </w:r>
          </w:p>
        </w:tc>
      </w:tr>
      <w:tr w14:paraId="2F7E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vAlign w:val="center"/>
          </w:tcPr>
          <w:p w14:paraId="0027C77E">
            <w:pPr>
              <w:jc w:val="center"/>
              <w:rPr>
                <w:rFonts w:eastAsiaTheme="minorEastAsia"/>
                <w:szCs w:val="21"/>
                <w:highlight w:val="none"/>
              </w:rPr>
            </w:pPr>
            <w:bookmarkStart w:id="47" w:name="_Hlk207127367"/>
            <w:r>
              <w:rPr>
                <w:rFonts w:eastAsiaTheme="minorEastAsia"/>
                <w:szCs w:val="21"/>
                <w:highlight w:val="none"/>
              </w:rPr>
              <w:t>天</w:t>
            </w:r>
          </w:p>
        </w:tc>
        <w:tc>
          <w:tcPr>
            <w:tcW w:w="979" w:type="pct"/>
            <w:vAlign w:val="center"/>
          </w:tcPr>
          <w:p w14:paraId="0E880ECC">
            <w:pPr>
              <w:jc w:val="center"/>
              <w:rPr>
                <w:rFonts w:eastAsiaTheme="minorEastAsia"/>
                <w:szCs w:val="21"/>
                <w:highlight w:val="none"/>
              </w:rPr>
            </w:pPr>
            <w:r>
              <w:rPr>
                <w:rFonts w:eastAsiaTheme="minorEastAsia"/>
                <w:szCs w:val="21"/>
                <w:highlight w:val="none"/>
              </w:rPr>
              <w:t>2.21</w:t>
            </w:r>
          </w:p>
        </w:tc>
        <w:tc>
          <w:tcPr>
            <w:tcW w:w="979" w:type="pct"/>
            <w:vAlign w:val="center"/>
          </w:tcPr>
          <w:p w14:paraId="74CFB8ED">
            <w:pPr>
              <w:jc w:val="center"/>
              <w:rPr>
                <w:rFonts w:eastAsiaTheme="minorEastAsia"/>
                <w:szCs w:val="21"/>
                <w:highlight w:val="none"/>
              </w:rPr>
            </w:pPr>
            <w:r>
              <w:rPr>
                <w:rFonts w:eastAsiaTheme="minorEastAsia"/>
                <w:szCs w:val="21"/>
                <w:highlight w:val="none"/>
              </w:rPr>
              <w:t>7</w:t>
            </w:r>
          </w:p>
        </w:tc>
        <w:tc>
          <w:tcPr>
            <w:tcW w:w="979" w:type="pct"/>
            <w:vAlign w:val="center"/>
          </w:tcPr>
          <w:p w14:paraId="30FF4F31">
            <w:pPr>
              <w:jc w:val="center"/>
              <w:rPr>
                <w:rFonts w:eastAsiaTheme="minorEastAsia"/>
                <w:szCs w:val="21"/>
                <w:highlight w:val="none"/>
              </w:rPr>
            </w:pPr>
            <w:r>
              <w:rPr>
                <w:rFonts w:eastAsiaTheme="minorEastAsia"/>
                <w:szCs w:val="21"/>
                <w:highlight w:val="none"/>
              </w:rPr>
              <w:t>0.32</w:t>
            </w:r>
          </w:p>
        </w:tc>
        <w:tc>
          <w:tcPr>
            <w:tcW w:w="1085" w:type="pct"/>
            <w:vAlign w:val="center"/>
          </w:tcPr>
          <w:p w14:paraId="15A1CFAC">
            <w:pPr>
              <w:jc w:val="center"/>
              <w:rPr>
                <w:rFonts w:eastAsiaTheme="minorEastAsia"/>
                <w:szCs w:val="21"/>
                <w:highlight w:val="none"/>
              </w:rPr>
            </w:pPr>
            <w:r>
              <w:rPr>
                <w:rFonts w:eastAsiaTheme="minorEastAsia"/>
                <w:szCs w:val="21"/>
                <w:highlight w:val="none"/>
              </w:rPr>
              <w:t>0.32</w:t>
            </w:r>
          </w:p>
        </w:tc>
      </w:tr>
      <w:tr w14:paraId="30C71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vAlign w:val="center"/>
          </w:tcPr>
          <w:p w14:paraId="4EB8D91C">
            <w:pPr>
              <w:jc w:val="center"/>
              <w:rPr>
                <w:rFonts w:eastAsiaTheme="minorEastAsia"/>
                <w:szCs w:val="21"/>
                <w:highlight w:val="none"/>
              </w:rPr>
            </w:pPr>
            <w:r>
              <w:rPr>
                <w:rFonts w:eastAsiaTheme="minorEastAsia"/>
                <w:szCs w:val="21"/>
                <w:highlight w:val="none"/>
              </w:rPr>
              <w:t>测量</w:t>
            </w:r>
          </w:p>
        </w:tc>
        <w:tc>
          <w:tcPr>
            <w:tcW w:w="979" w:type="pct"/>
            <w:vAlign w:val="center"/>
          </w:tcPr>
          <w:p w14:paraId="203AF325">
            <w:pPr>
              <w:jc w:val="center"/>
              <w:rPr>
                <w:rFonts w:eastAsiaTheme="minorEastAsia"/>
                <w:szCs w:val="21"/>
                <w:highlight w:val="none"/>
              </w:rPr>
            </w:pPr>
            <w:r>
              <w:rPr>
                <w:rFonts w:eastAsiaTheme="minorEastAsia"/>
                <w:szCs w:val="21"/>
                <w:highlight w:val="none"/>
              </w:rPr>
              <w:t>10.19</w:t>
            </w:r>
          </w:p>
        </w:tc>
        <w:tc>
          <w:tcPr>
            <w:tcW w:w="979" w:type="pct"/>
            <w:vAlign w:val="center"/>
          </w:tcPr>
          <w:p w14:paraId="651A2A5B">
            <w:pPr>
              <w:jc w:val="center"/>
              <w:rPr>
                <w:rFonts w:eastAsiaTheme="minorEastAsia"/>
                <w:szCs w:val="21"/>
                <w:highlight w:val="none"/>
              </w:rPr>
            </w:pPr>
            <w:r>
              <w:rPr>
                <w:rFonts w:eastAsiaTheme="minorEastAsia"/>
                <w:szCs w:val="21"/>
                <w:highlight w:val="none"/>
              </w:rPr>
              <w:t>28</w:t>
            </w:r>
          </w:p>
        </w:tc>
        <w:tc>
          <w:tcPr>
            <w:tcW w:w="979" w:type="pct"/>
            <w:vAlign w:val="center"/>
          </w:tcPr>
          <w:p w14:paraId="536CF2E0">
            <w:pPr>
              <w:jc w:val="center"/>
              <w:rPr>
                <w:rFonts w:eastAsiaTheme="minorEastAsia"/>
                <w:szCs w:val="21"/>
                <w:highlight w:val="none"/>
              </w:rPr>
            </w:pPr>
            <w:r>
              <w:rPr>
                <w:rFonts w:eastAsiaTheme="minorEastAsia"/>
                <w:szCs w:val="21"/>
                <w:highlight w:val="none"/>
              </w:rPr>
              <w:t>0.36</w:t>
            </w:r>
          </w:p>
        </w:tc>
        <w:tc>
          <w:tcPr>
            <w:tcW w:w="1085" w:type="pct"/>
            <w:vAlign w:val="center"/>
          </w:tcPr>
          <w:p w14:paraId="79AEB026">
            <w:pPr>
              <w:jc w:val="center"/>
              <w:rPr>
                <w:rFonts w:eastAsiaTheme="minorEastAsia"/>
                <w:szCs w:val="21"/>
                <w:highlight w:val="none"/>
              </w:rPr>
            </w:pPr>
            <w:r>
              <w:rPr>
                <w:rFonts w:eastAsiaTheme="minorEastAsia"/>
                <w:szCs w:val="21"/>
                <w:highlight w:val="none"/>
              </w:rPr>
              <w:t>0.36</w:t>
            </w:r>
          </w:p>
        </w:tc>
      </w:tr>
      <w:bookmarkEnd w:id="46"/>
      <w:bookmarkEnd w:id="47"/>
      <w:tr w14:paraId="4242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vAlign w:val="center"/>
          </w:tcPr>
          <w:p w14:paraId="4A2B9294">
            <w:pPr>
              <w:jc w:val="center"/>
              <w:rPr>
                <w:rFonts w:eastAsiaTheme="minorEastAsia"/>
                <w:szCs w:val="21"/>
                <w:highlight w:val="none"/>
              </w:rPr>
            </w:pPr>
            <w:r>
              <w:rPr>
                <w:rFonts w:eastAsiaTheme="minorEastAsia"/>
                <w:szCs w:val="21"/>
                <w:highlight w:val="none"/>
              </w:rPr>
              <w:t>总和</w:t>
            </w:r>
          </w:p>
        </w:tc>
        <w:tc>
          <w:tcPr>
            <w:tcW w:w="979" w:type="pct"/>
            <w:vAlign w:val="center"/>
          </w:tcPr>
          <w:p w14:paraId="6E28BC19">
            <w:pPr>
              <w:jc w:val="center"/>
              <w:rPr>
                <w:rFonts w:eastAsiaTheme="minorEastAsia"/>
                <w:szCs w:val="21"/>
                <w:highlight w:val="none"/>
              </w:rPr>
            </w:pPr>
            <w:r>
              <w:rPr>
                <w:rFonts w:eastAsiaTheme="minorEastAsia"/>
                <w:szCs w:val="21"/>
                <w:highlight w:val="none"/>
              </w:rPr>
              <w:t>592.60</w:t>
            </w:r>
          </w:p>
        </w:tc>
        <w:tc>
          <w:tcPr>
            <w:tcW w:w="979" w:type="pct"/>
            <w:vAlign w:val="center"/>
          </w:tcPr>
          <w:p w14:paraId="11770D31">
            <w:pPr>
              <w:jc w:val="center"/>
              <w:rPr>
                <w:rFonts w:eastAsiaTheme="minorEastAsia"/>
                <w:szCs w:val="21"/>
                <w:highlight w:val="none"/>
              </w:rPr>
            </w:pPr>
            <w:r>
              <w:rPr>
                <w:rFonts w:eastAsiaTheme="minorEastAsia"/>
                <w:szCs w:val="21"/>
                <w:highlight w:val="none"/>
              </w:rPr>
              <w:t>41</w:t>
            </w:r>
          </w:p>
        </w:tc>
        <w:tc>
          <w:tcPr>
            <w:tcW w:w="979" w:type="pct"/>
            <w:vAlign w:val="center"/>
          </w:tcPr>
          <w:p w14:paraId="4268FCE1">
            <w:pPr>
              <w:jc w:val="center"/>
              <w:rPr>
                <w:rFonts w:eastAsiaTheme="minorEastAsia"/>
                <w:szCs w:val="21"/>
                <w:highlight w:val="none"/>
              </w:rPr>
            </w:pPr>
          </w:p>
        </w:tc>
        <w:tc>
          <w:tcPr>
            <w:tcW w:w="1085" w:type="pct"/>
            <w:vAlign w:val="center"/>
          </w:tcPr>
          <w:p w14:paraId="57E13298">
            <w:pPr>
              <w:jc w:val="center"/>
              <w:rPr>
                <w:rFonts w:eastAsiaTheme="minorEastAsia"/>
                <w:szCs w:val="21"/>
                <w:highlight w:val="none"/>
              </w:rPr>
            </w:pPr>
          </w:p>
        </w:tc>
      </w:tr>
    </w:tbl>
    <w:p w14:paraId="10F4467A">
      <w:pPr>
        <w:widowControl/>
        <w:snapToGrid w:val="0"/>
        <w:spacing w:line="300" w:lineRule="auto"/>
        <w:ind w:firstLine="442"/>
        <w:rPr>
          <w:sz w:val="24"/>
          <w:highlight w:val="none"/>
        </w:rPr>
      </w:pPr>
    </w:p>
    <w:p w14:paraId="377686FF">
      <w:pPr>
        <w:widowControl/>
        <w:snapToGrid w:val="0"/>
        <w:spacing w:line="300" w:lineRule="auto"/>
        <w:ind w:firstLine="442"/>
        <w:rPr>
          <w:sz w:val="24"/>
          <w:highlight w:val="none"/>
        </w:rPr>
      </w:pPr>
      <w:r>
        <w:rPr>
          <w:rFonts w:hint="eastAsia"/>
          <w:sz w:val="24"/>
          <w:highlight w:val="none"/>
        </w:rPr>
        <w:t>根据该</w:t>
      </w:r>
      <w:r>
        <w:rPr>
          <w:sz w:val="24"/>
          <w:highlight w:val="none"/>
        </w:rPr>
        <w:t>ANOVA</w:t>
      </w:r>
      <w:r>
        <w:rPr>
          <w:rFonts w:hint="eastAsia"/>
          <w:sz w:val="24"/>
          <w:highlight w:val="none"/>
        </w:rPr>
        <w:t>表（表12），使用下列公式估计样品A（硫酸显色滴定）的方差分量和计算精密度：</w:t>
      </w:r>
    </w:p>
    <w:p w14:paraId="0626A9B5">
      <w:pPr>
        <w:widowControl/>
        <w:snapToGrid w:val="0"/>
        <w:spacing w:line="300" w:lineRule="auto"/>
        <w:ind w:firstLine="440"/>
        <w:jc w:val="center"/>
        <w:rPr>
          <w:rFonts w:ascii="Cambria Math" w:hAnsi="Cambria Math"/>
          <w:color w:val="000000" w:themeColor="text1"/>
          <w:sz w:val="22"/>
          <w:highlight w:val="none"/>
          <w14:textFill>
            <w14:solidFill>
              <w14:schemeClr w14:val="tx1"/>
            </w14:solidFill>
          </w14:textFill>
          <w:oMath/>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L</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1</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2n</m:t>
              </m:r>
              <m:ctrlPr>
                <w:rPr>
                  <w:rFonts w:ascii="Cambria Math" w:hAnsi="Cambria Math"/>
                  <w:i/>
                  <w:color w:val="000000" w:themeColor="text1"/>
                  <w:sz w:val="22"/>
                  <w:highlight w:val="none"/>
                  <w14:textFill>
                    <w14:solidFill>
                      <w14:schemeClr w14:val="tx1"/>
                    </w14:solidFill>
                  </w14:textFill>
                </w:rPr>
              </m:ctrlPr>
            </m:den>
          </m:f>
          <m:d>
            <m:dPr>
              <m:ctrlPr>
                <w:rPr>
                  <w:rFonts w:ascii="Cambria Math" w:hAnsi="Cambria Math"/>
                  <w:i/>
                  <w:color w:val="000000" w:themeColor="text1"/>
                  <w:sz w:val="22"/>
                  <w:highlight w:val="none"/>
                  <w14:textFill>
                    <w14:solidFill>
                      <w14:schemeClr w14:val="tx1"/>
                    </w14:solidFill>
                  </w14:textFill>
                </w:rPr>
              </m:ctrlPr>
            </m:d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L</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d>
          <m:r>
            <m:rPr/>
            <w:rPr>
              <w:rFonts w:ascii="Cambria Math" w:hAnsi="Cambria Math"/>
              <w:color w:val="000000" w:themeColor="text1"/>
              <w:sz w:val="22"/>
              <w:highlight w:val="none"/>
              <w14:textFill>
                <w14:solidFill>
                  <w14:schemeClr w14:val="tx1"/>
                </w14:solidFill>
              </w14:textFill>
            </w:rPr>
            <m:t>=16.06</m:t>
          </m:r>
        </m:oMath>
      </m:oMathPara>
    </w:p>
    <w:p w14:paraId="3B549CF7">
      <w:pPr>
        <w:widowControl/>
        <w:snapToGrid w:val="0"/>
        <w:spacing w:line="300" w:lineRule="auto"/>
        <w:ind w:firstLine="440"/>
        <w:jc w:val="center"/>
        <w:rPr>
          <w:rFonts w:ascii="Cambria" w:hAnsi="Cambria"/>
          <w:color w:val="000000" w:themeColor="text1"/>
          <w:sz w:val="22"/>
          <w:highlight w:val="none"/>
          <w14:textFill>
            <w14:solidFill>
              <w14:schemeClr w14:val="tx1"/>
            </w14:solidFill>
          </w14:textFill>
        </w:rPr>
      </w:pPr>
    </w:p>
    <w:p w14:paraId="22A9CCA8">
      <w:pPr>
        <w:widowControl/>
        <w:snapToGrid w:val="0"/>
        <w:spacing w:line="300" w:lineRule="auto"/>
        <w:ind w:firstLine="440"/>
        <w:jc w:val="center"/>
        <w:rPr>
          <w:rFonts w:ascii="Cambria" w:hAnsi="Cambria"/>
          <w:sz w:val="22"/>
          <w:highlight w:val="none"/>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f>
            <m:fPr>
              <m:ctrlPr>
                <w:rPr>
                  <w:rFonts w:ascii="Cambria Math" w:hAnsi="Cambria Math"/>
                  <w:i/>
                  <w:color w:val="000000" w:themeColor="text1"/>
                  <w:sz w:val="22"/>
                  <w:highlight w:val="none"/>
                  <w14:textFill>
                    <w14:solidFill>
                      <w14:schemeClr w14:val="tx1"/>
                    </w14:solidFill>
                  </w14:textFill>
                </w:rPr>
              </m:ctrlPr>
            </m:fPr>
            <m:num>
              <m:r>
                <m:rPr/>
                <w:rPr>
                  <w:rFonts w:ascii="Cambria Math" w:hAnsi="Cambria Math"/>
                  <w:color w:val="000000" w:themeColor="text1"/>
                  <w:sz w:val="22"/>
                  <w:highlight w:val="none"/>
                  <w14:textFill>
                    <w14:solidFill>
                      <w14:schemeClr w14:val="tx1"/>
                    </w14:solidFill>
                  </w14:textFill>
                </w:rPr>
                <m:t>1</m:t>
              </m:r>
              <m:ctrlPr>
                <w:rPr>
                  <w:rFonts w:ascii="Cambria Math" w:hAnsi="Cambria Math"/>
                  <w:i/>
                  <w:color w:val="000000" w:themeColor="text1"/>
                  <w:sz w:val="22"/>
                  <w:highlight w:val="none"/>
                  <w14:textFill>
                    <w14:solidFill>
                      <w14:schemeClr w14:val="tx1"/>
                    </w14:solidFill>
                  </w14:textFill>
                </w:rPr>
              </m:ctrlPr>
            </m:num>
            <m:den>
              <m:r>
                <m:rPr/>
                <w:rPr>
                  <w:rFonts w:ascii="Cambria Math" w:hAnsi="Cambria Math"/>
                  <w:color w:val="000000" w:themeColor="text1"/>
                  <w:sz w:val="22"/>
                  <w:highlight w:val="none"/>
                  <w14:textFill>
                    <w14:solidFill>
                      <w14:schemeClr w14:val="tx1"/>
                    </w14:solidFill>
                  </w14:textFill>
                </w:rPr>
                <m:t>n</m:t>
              </m:r>
              <m:ctrlPr>
                <w:rPr>
                  <w:rFonts w:ascii="Cambria Math" w:hAnsi="Cambria Math"/>
                  <w:i/>
                  <w:color w:val="000000" w:themeColor="text1"/>
                  <w:sz w:val="22"/>
                  <w:highlight w:val="none"/>
                  <w14:textFill>
                    <w14:solidFill>
                      <w14:schemeClr w14:val="tx1"/>
                    </w14:solidFill>
                  </w14:textFill>
                </w:rPr>
              </m:ctrlPr>
            </m:den>
          </m:f>
          <m:d>
            <m:dPr>
              <m:ctrlPr>
                <w:rPr>
                  <w:rFonts w:ascii="Cambria Math" w:hAnsi="Cambria Math"/>
                  <w:i/>
                  <w:color w:val="000000" w:themeColor="text1"/>
                  <w:sz w:val="22"/>
                  <w:highlight w:val="none"/>
                  <w14:textFill>
                    <w14:solidFill>
                      <w14:schemeClr w14:val="tx1"/>
                    </w14:solidFill>
                  </w14:textFill>
                </w:rPr>
              </m:ctrlPr>
            </m:dPr>
            <m:e>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Sub>
              <m:r>
                <m:rPr/>
                <w:rPr>
                  <w:rFonts w:ascii="Cambria Math" w:hAnsi="Cambria Math"/>
                  <w:color w:val="000000" w:themeColor="text1"/>
                  <w:sz w:val="22"/>
                  <w:highlight w:val="none"/>
                  <w14:textFill>
                    <w14:solidFill>
                      <w14:schemeClr w14:val="tx1"/>
                    </w14:solidFill>
                  </w14:textFill>
                </w:rPr>
                <m:t>−</m:t>
              </m:r>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Sub>
              <m:ctrlPr>
                <w:rPr>
                  <w:rFonts w:ascii="Cambria Math" w:hAnsi="Cambria Math"/>
                  <w:i/>
                  <w:color w:val="000000" w:themeColor="text1"/>
                  <w:sz w:val="22"/>
                  <w:highlight w:val="none"/>
                  <w14:textFill>
                    <w14:solidFill>
                      <w14:schemeClr w14:val="tx1"/>
                    </w14:solidFill>
                  </w14:textFill>
                </w:rPr>
              </m:ctrlPr>
            </m:e>
          </m:d>
          <m:r>
            <m:rPr/>
            <w:rPr>
              <w:rFonts w:ascii="Cambria Math" w:hAnsi="Cambria Math"/>
              <w:color w:val="000000" w:themeColor="text1"/>
              <w:sz w:val="22"/>
              <w:highlight w:val="none"/>
              <w14:textFill>
                <w14:solidFill>
                  <w14:schemeClr w14:val="tx1"/>
                </w14:solidFill>
              </w14:textFill>
            </w:rPr>
            <m:t>=0</m:t>
          </m:r>
        </m:oMath>
      </m:oMathPara>
    </w:p>
    <w:p w14:paraId="6A9210D3">
      <w:pPr>
        <w:widowControl/>
        <w:snapToGrid w:val="0"/>
        <w:spacing w:line="300" w:lineRule="auto"/>
        <w:ind w:firstLine="440"/>
        <w:jc w:val="center"/>
        <w:rPr>
          <w:rFonts w:ascii="Cambria" w:hAnsi="Cambria"/>
          <w:color w:val="000000" w:themeColor="text1"/>
          <w:sz w:val="22"/>
          <w:highlight w:val="none"/>
          <w14:textFill>
            <w14:solidFill>
              <w14:schemeClr w14:val="tx1"/>
            </w14:solidFill>
          </w14:textFill>
        </w:rPr>
      </w:pPr>
    </w:p>
    <w:p w14:paraId="27303E87">
      <w:pPr>
        <w:widowControl/>
        <w:snapToGrid w:val="0"/>
        <w:spacing w:line="300" w:lineRule="auto"/>
        <w:ind w:firstLine="440"/>
        <w:jc w:val="center"/>
        <w:rPr>
          <w:rFonts w:ascii="Cambria" w:hAnsi="Cambria"/>
          <w:sz w:val="22"/>
          <w:highlight w:val="none"/>
        </w:rPr>
      </w:pPr>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m:sty m:val="p"/>
          </m:rPr>
          <w:rPr>
            <w:rFonts w:ascii="Cambria Math" w:hAnsi="Cambria Math"/>
            <w:color w:val="000000" w:themeColor="text1"/>
            <w:sz w:val="22"/>
            <w:highlight w:val="none"/>
            <w14:textFill>
              <w14:solidFill>
                <w14:schemeClr w14:val="tx1"/>
              </w14:solidFill>
            </w14:textFill>
          </w:rPr>
          <m:t>=</m:t>
        </m:r>
        <m:sSub>
          <m:sSubPr>
            <m:ctrlPr>
              <w:rPr>
                <w:rFonts w:ascii="Cambria Math" w:hAnsi="Cambria Math"/>
                <w:i/>
                <w:color w:val="000000" w:themeColor="text1"/>
                <w:sz w:val="22"/>
                <w:highlight w:val="none"/>
                <w14:textFill>
                  <w14:solidFill>
                    <w14:schemeClr w14:val="tx1"/>
                  </w14:solidFill>
                </w14:textFill>
              </w:rPr>
            </m:ctrlPr>
          </m:sSubPr>
          <m:e>
            <m:r>
              <m:rPr/>
              <w:rPr>
                <w:rFonts w:ascii="Cambria Math" w:hAnsi="Cambria Math"/>
                <w:color w:val="000000" w:themeColor="text1"/>
                <w:sz w:val="22"/>
                <w:highlight w:val="none"/>
                <w14:textFill>
                  <w14:solidFill>
                    <w14:schemeClr w14:val="tx1"/>
                  </w14:solidFill>
                </w14:textFill>
              </w:rPr>
              <m:t>V</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Sub>
      </m:oMath>
      <w:r>
        <w:rPr>
          <w:rFonts w:ascii="Cambria" w:hAnsi="Cambria"/>
          <w:color w:val="000000" w:themeColor="text1"/>
          <w:sz w:val="22"/>
          <w:highlight w:val="none"/>
          <w14:textFill>
            <w14:solidFill>
              <w14:schemeClr w14:val="tx1"/>
            </w14:solidFill>
          </w14:textFill>
        </w:rPr>
        <w:t>=</w:t>
      </w:r>
      <w:r>
        <w:rPr>
          <w:rFonts w:hint="eastAsia" w:ascii="Cambria" w:hAnsi="Cambria"/>
          <w:color w:val="000000" w:themeColor="text1"/>
          <w:sz w:val="22"/>
          <w:highlight w:val="none"/>
          <w14:textFill>
            <w14:solidFill>
              <w14:schemeClr w14:val="tx1"/>
            </w14:solidFill>
          </w14:textFill>
        </w:rPr>
        <w:t>0.36</w:t>
      </w:r>
    </w:p>
    <w:p w14:paraId="0F4182C9">
      <w:pPr>
        <w:widowControl/>
        <w:snapToGrid w:val="0"/>
        <w:spacing w:line="300" w:lineRule="auto"/>
        <w:ind w:firstLine="440"/>
        <w:jc w:val="center"/>
        <w:rPr>
          <w:rFonts w:ascii="Cambria" w:hAnsi="Cambria"/>
          <w:color w:val="000000" w:themeColor="text1"/>
          <w:sz w:val="22"/>
          <w:highlight w:val="none"/>
          <w14:textFill>
            <w14:solidFill>
              <w14:schemeClr w14:val="tx1"/>
            </w14:solidFill>
          </w14:textFill>
        </w:rPr>
      </w:pPr>
    </w:p>
    <w:p w14:paraId="23F85639">
      <w:pPr>
        <w:widowControl/>
        <w:snapToGrid w:val="0"/>
        <w:spacing w:line="300" w:lineRule="auto"/>
        <w:ind w:firstLine="440"/>
        <w:jc w:val="center"/>
        <w:rPr>
          <w:rFonts w:ascii="Cambria" w:hAnsi="Cambria"/>
          <w:color w:val="000000" w:themeColor="text1"/>
          <w:sz w:val="22"/>
          <w:highlight w:val="none"/>
          <w14:textFill>
            <w14:solidFill>
              <w14:schemeClr w14:val="tx1"/>
            </w14:solidFill>
          </w14:textFill>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rD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=0.36</m:t>
          </m:r>
        </m:oMath>
      </m:oMathPara>
    </w:p>
    <w:p w14:paraId="2E25689D">
      <w:pPr>
        <w:widowControl/>
        <w:snapToGrid w:val="0"/>
        <w:spacing w:line="300" w:lineRule="auto"/>
        <w:ind w:firstLine="440"/>
        <w:jc w:val="center"/>
        <w:rPr>
          <w:rFonts w:ascii="Cambria" w:hAnsi="Cambria"/>
          <w:color w:val="000000" w:themeColor="text1"/>
          <w:sz w:val="22"/>
          <w:highlight w:val="none"/>
          <w14:textFill>
            <w14:solidFill>
              <w14:schemeClr w14:val="tx1"/>
            </w14:solidFill>
          </w14:textFill>
        </w:rPr>
      </w:pPr>
    </w:p>
    <w:p w14:paraId="5A33100A">
      <w:pPr>
        <w:widowControl/>
        <w:snapToGrid w:val="0"/>
        <w:spacing w:line="300" w:lineRule="auto"/>
        <w:ind w:firstLine="440"/>
        <w:jc w:val="center"/>
        <w:rPr>
          <w:rFonts w:ascii="Cambria" w:hAnsi="Cambria"/>
          <w:color w:val="000000" w:themeColor="text1"/>
          <w:sz w:val="22"/>
          <w:highlight w:val="none"/>
          <w14:textFill>
            <w14:solidFill>
              <w14:schemeClr w14:val="tx1"/>
            </w14:solidFill>
          </w14:textFill>
        </w:rPr>
      </w:pPr>
      <m:oMathPara>
        <m:oMath>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s</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R</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M</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m:t>
          </m:r>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D</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sSubSup>
            <m:sSubSupPr>
              <m:ctrlPr>
                <w:rPr>
                  <w:rFonts w:ascii="Cambria Math" w:hAnsi="Cambria Math"/>
                  <w:i/>
                  <w:color w:val="000000" w:themeColor="text1"/>
                  <w:sz w:val="22"/>
                  <w:highlight w:val="none"/>
                  <w14:textFill>
                    <w14:solidFill>
                      <w14:schemeClr w14:val="tx1"/>
                    </w14:solidFill>
                  </w14:textFill>
                </w:rPr>
              </m:ctrlPr>
            </m:sSubSupPr>
            <m:e>
              <m:r>
                <m:rPr/>
                <w:rPr>
                  <w:rFonts w:ascii="Cambria Math" w:hAnsi="Cambria Math"/>
                  <w:color w:val="000000" w:themeColor="text1"/>
                  <w:sz w:val="22"/>
                  <w:highlight w:val="none"/>
                  <w14:textFill>
                    <w14:solidFill>
                      <w14:schemeClr w14:val="tx1"/>
                    </w14:solidFill>
                  </w14:textFill>
                </w:rPr>
                <m:t>+σ</m:t>
              </m:r>
              <m:ctrlPr>
                <w:rPr>
                  <w:rFonts w:ascii="Cambria Math" w:hAnsi="Cambria Math"/>
                  <w:i/>
                  <w:color w:val="000000" w:themeColor="text1"/>
                  <w:sz w:val="22"/>
                  <w:highlight w:val="none"/>
                  <w14:textFill>
                    <w14:solidFill>
                      <w14:schemeClr w14:val="tx1"/>
                    </w14:solidFill>
                  </w14:textFill>
                </w:rPr>
              </m:ctrlPr>
            </m:e>
            <m:sub>
              <m:r>
                <m:rPr>
                  <m:sty m:val="p"/>
                </m:rPr>
                <w:rPr>
                  <w:rFonts w:ascii="Cambria Math" w:hAnsi="Cambria Math"/>
                  <w:color w:val="000000" w:themeColor="text1"/>
                  <w:sz w:val="22"/>
                  <w:highlight w:val="none"/>
                  <w14:textFill>
                    <w14:solidFill>
                      <w14:schemeClr w14:val="tx1"/>
                    </w14:solidFill>
                  </w14:textFill>
                </w:rPr>
                <m:t>L</m:t>
              </m:r>
              <m:ctrlPr>
                <w:rPr>
                  <w:rFonts w:ascii="Cambria Math" w:hAnsi="Cambria Math"/>
                  <w:i/>
                  <w:color w:val="000000" w:themeColor="text1"/>
                  <w:sz w:val="22"/>
                  <w:highlight w:val="none"/>
                  <w14:textFill>
                    <w14:solidFill>
                      <w14:schemeClr w14:val="tx1"/>
                    </w14:solidFill>
                  </w14:textFill>
                </w:rPr>
              </m:ctrlPr>
            </m:sub>
            <m:sup>
              <m:r>
                <m:rPr/>
                <w:rPr>
                  <w:rFonts w:ascii="Cambria Math" w:hAnsi="Cambria Math"/>
                  <w:color w:val="000000" w:themeColor="text1"/>
                  <w:sz w:val="22"/>
                  <w:highlight w:val="none"/>
                  <w14:textFill>
                    <w14:solidFill>
                      <w14:schemeClr w14:val="tx1"/>
                    </w14:solidFill>
                  </w14:textFill>
                </w:rPr>
                <m:t>2</m:t>
              </m:r>
              <m:ctrlPr>
                <w:rPr>
                  <w:rFonts w:ascii="Cambria Math" w:hAnsi="Cambria Math"/>
                  <w:i/>
                  <w:color w:val="000000" w:themeColor="text1"/>
                  <w:sz w:val="22"/>
                  <w:highlight w:val="none"/>
                  <w14:textFill>
                    <w14:solidFill>
                      <w14:schemeClr w14:val="tx1"/>
                    </w14:solidFill>
                  </w14:textFill>
                </w:rPr>
              </m:ctrlPr>
            </m:sup>
          </m:sSubSup>
          <m:r>
            <m:rPr/>
            <w:rPr>
              <w:rFonts w:ascii="Cambria Math" w:hAnsi="Cambria Math"/>
              <w:color w:val="000000" w:themeColor="text1"/>
              <w:sz w:val="22"/>
              <w:highlight w:val="none"/>
              <w14:textFill>
                <w14:solidFill>
                  <w14:schemeClr w14:val="tx1"/>
                </w14:solidFill>
              </w14:textFill>
            </w:rPr>
            <m:t>=16.43</m:t>
          </m:r>
        </m:oMath>
      </m:oMathPara>
    </w:p>
    <w:p w14:paraId="12A16B15">
      <w:pPr>
        <w:widowControl/>
        <w:snapToGrid w:val="0"/>
        <w:spacing w:line="300" w:lineRule="auto"/>
        <w:ind w:firstLine="440"/>
        <w:jc w:val="center"/>
        <w:rPr>
          <w:rFonts w:ascii="Cambria" w:hAnsi="Cambria"/>
          <w:i/>
          <w:color w:val="000000" w:themeColor="text1"/>
          <w:sz w:val="22"/>
          <w:highlight w:val="none"/>
          <w14:textFill>
            <w14:solidFill>
              <w14:schemeClr w14:val="tx1"/>
            </w14:solidFill>
          </w14:textFill>
        </w:rPr>
      </w:pPr>
    </w:p>
    <w:p w14:paraId="4BBF3EAF">
      <w:pPr>
        <w:widowControl/>
        <w:snapToGrid w:val="0"/>
        <w:spacing w:line="300" w:lineRule="auto"/>
        <w:ind w:firstLine="440"/>
        <w:jc w:val="center"/>
        <w:rPr>
          <w:rFonts w:ascii="Cambria" w:hAnsi="Cambria"/>
          <w:sz w:val="22"/>
          <w:highlight w:val="none"/>
        </w:rPr>
      </w:pPr>
      <w:r>
        <w:rPr>
          <w:rFonts w:ascii="Cambria" w:hAnsi="Cambria"/>
          <w:i/>
          <w:color w:val="000000" w:themeColor="text1"/>
          <w:sz w:val="22"/>
          <w:highlight w:val="none"/>
          <w14:textFill>
            <w14:solidFill>
              <w14:schemeClr w14:val="tx1"/>
            </w14:solidFill>
          </w14:textFill>
        </w:rPr>
        <w:t>r</w:t>
      </w:r>
      <w:r>
        <w:rPr>
          <w:rFonts w:ascii="Cambria" w:hAnsi="Cambria"/>
          <w:color w:val="000000" w:themeColor="text1"/>
          <w:sz w:val="22"/>
          <w:highlight w:val="none"/>
          <w14:textFill>
            <w14:solidFill>
              <w14:schemeClr w14:val="tx1"/>
            </w14:solidFill>
          </w14:textFill>
        </w:rPr>
        <w:t>=</w:t>
      </w:r>
      <w:r>
        <w:rPr>
          <w:rFonts w:ascii="Cambria" w:hAnsi="Cambria"/>
          <w:sz w:val="22"/>
          <w:highlight w:val="none"/>
        </w:rPr>
        <w:t>2.83</w:t>
      </w:r>
      <w:r>
        <w:rPr>
          <w:rFonts w:ascii="Cambria" w:hAnsi="Cambria"/>
          <w:i/>
          <w:color w:val="000000" w:themeColor="text1"/>
          <w:sz w:val="22"/>
          <w:highlight w:val="none"/>
          <w14:textFill>
            <w14:solidFill>
              <w14:schemeClr w14:val="tx1"/>
            </w14:solidFill>
          </w14:textFill>
        </w:rPr>
        <w:t>σ</w:t>
      </w:r>
      <w:r>
        <w:rPr>
          <w:rFonts w:ascii="Cambria" w:hAnsi="Cambria"/>
          <w:color w:val="000000" w:themeColor="text1"/>
          <w:sz w:val="22"/>
          <w:highlight w:val="none"/>
          <w:vertAlign w:val="subscript"/>
          <w14:textFill>
            <w14:solidFill>
              <w14:schemeClr w14:val="tx1"/>
            </w14:solidFill>
          </w14:textFill>
        </w:rPr>
        <w:t>M</w:t>
      </w:r>
      <w:r>
        <w:rPr>
          <w:rFonts w:ascii="Cambria" w:hAnsi="Cambria"/>
          <w:color w:val="000000" w:themeColor="text1"/>
          <w:sz w:val="22"/>
          <w:highlight w:val="none"/>
          <w14:textFill>
            <w14:solidFill>
              <w14:schemeClr w14:val="tx1"/>
            </w14:solidFill>
          </w14:textFill>
        </w:rPr>
        <w:t>=</w:t>
      </w:r>
      <w:r>
        <w:rPr>
          <w:rFonts w:hint="eastAsia" w:ascii="Cambria" w:hAnsi="Cambria"/>
          <w:color w:val="000000" w:themeColor="text1"/>
          <w:sz w:val="22"/>
          <w:highlight w:val="none"/>
          <w14:textFill>
            <w14:solidFill>
              <w14:schemeClr w14:val="tx1"/>
            </w14:solidFill>
          </w14:textFill>
        </w:rPr>
        <w:t>2.83×0.60=1.70</w:t>
      </w:r>
    </w:p>
    <w:p w14:paraId="06AD6BFA">
      <w:pPr>
        <w:widowControl/>
        <w:snapToGrid w:val="0"/>
        <w:spacing w:line="300" w:lineRule="auto"/>
        <w:ind w:firstLine="440"/>
        <w:jc w:val="center"/>
        <w:rPr>
          <w:rFonts w:ascii="Cambria" w:hAnsi="Cambria"/>
          <w:i/>
          <w:color w:val="000000" w:themeColor="text1"/>
          <w:sz w:val="22"/>
          <w:highlight w:val="none"/>
          <w14:textFill>
            <w14:solidFill>
              <w14:schemeClr w14:val="tx1"/>
            </w14:solidFill>
          </w14:textFill>
        </w:rPr>
      </w:pPr>
    </w:p>
    <w:p w14:paraId="4BB77FB3">
      <w:pPr>
        <w:widowControl/>
        <w:snapToGrid w:val="0"/>
        <w:spacing w:line="300" w:lineRule="auto"/>
        <w:ind w:firstLine="440"/>
        <w:jc w:val="center"/>
        <w:rPr>
          <w:rFonts w:ascii="Cambria" w:hAnsi="Cambria"/>
          <w:color w:val="000000" w:themeColor="text1"/>
          <w:sz w:val="22"/>
          <w:highlight w:val="none"/>
          <w14:textFill>
            <w14:solidFill>
              <w14:schemeClr w14:val="tx1"/>
            </w14:solidFill>
          </w14:textFill>
        </w:rPr>
      </w:pPr>
      <w:r>
        <w:rPr>
          <w:rFonts w:ascii="Cambria" w:hAnsi="Cambria"/>
          <w:i/>
          <w:color w:val="000000" w:themeColor="text1"/>
          <w:sz w:val="22"/>
          <w:highlight w:val="none"/>
          <w14:textFill>
            <w14:solidFill>
              <w14:schemeClr w14:val="tx1"/>
            </w14:solidFill>
          </w14:textFill>
        </w:rPr>
        <w:t>r</w:t>
      </w:r>
      <w:r>
        <w:rPr>
          <w:rFonts w:ascii="Cambria" w:hAnsi="Cambria"/>
          <w:color w:val="000000" w:themeColor="text1"/>
          <w:sz w:val="22"/>
          <w:highlight w:val="none"/>
          <w:vertAlign w:val="subscript"/>
          <w14:textFill>
            <w14:solidFill>
              <w14:schemeClr w14:val="tx1"/>
            </w14:solidFill>
          </w14:textFill>
        </w:rPr>
        <w:t>D</w:t>
      </w:r>
      <w:r>
        <w:rPr>
          <w:rFonts w:ascii="Cambria" w:hAnsi="Cambria"/>
          <w:color w:val="000000" w:themeColor="text1"/>
          <w:sz w:val="22"/>
          <w:highlight w:val="none"/>
          <w14:textFill>
            <w14:solidFill>
              <w14:schemeClr w14:val="tx1"/>
            </w14:solidFill>
          </w14:textFill>
        </w:rPr>
        <w:t>=</w:t>
      </w:r>
      <w:r>
        <w:rPr>
          <w:rFonts w:ascii="Cambria" w:hAnsi="Cambria"/>
          <w:sz w:val="22"/>
          <w:highlight w:val="none"/>
        </w:rPr>
        <w:t>2.83</w:t>
      </w:r>
      <w:r>
        <w:rPr>
          <w:rFonts w:ascii="Cambria" w:hAnsi="Cambria"/>
          <w:i/>
          <w:color w:val="000000" w:themeColor="text1"/>
          <w:sz w:val="22"/>
          <w:highlight w:val="none"/>
          <w14:textFill>
            <w14:solidFill>
              <w14:schemeClr w14:val="tx1"/>
            </w14:solidFill>
          </w14:textFill>
        </w:rPr>
        <w:t>s</w:t>
      </w:r>
      <w:r>
        <w:rPr>
          <w:rFonts w:ascii="Cambria" w:hAnsi="Cambria"/>
          <w:color w:val="000000" w:themeColor="text1"/>
          <w:sz w:val="22"/>
          <w:highlight w:val="none"/>
          <w:vertAlign w:val="subscript"/>
          <w14:textFill>
            <w14:solidFill>
              <w14:schemeClr w14:val="tx1"/>
            </w14:solidFill>
          </w14:textFill>
        </w:rPr>
        <w:t>rD</w:t>
      </w:r>
      <w:r>
        <w:rPr>
          <w:rFonts w:ascii="Cambria" w:hAnsi="Cambria"/>
          <w:color w:val="000000" w:themeColor="text1"/>
          <w:sz w:val="22"/>
          <w:highlight w:val="none"/>
          <w14:textFill>
            <w14:solidFill>
              <w14:schemeClr w14:val="tx1"/>
            </w14:solidFill>
          </w14:textFill>
        </w:rPr>
        <w:t>=</w:t>
      </w:r>
      <w:r>
        <w:rPr>
          <w:rFonts w:ascii="Cambria" w:hAnsi="Cambria"/>
          <w:sz w:val="22"/>
          <w:highlight w:val="none"/>
        </w:rPr>
        <w:t>2.83</w:t>
      </w:r>
      <m:oMath>
        <m:r>
          <m:rPr>
            <m:sty m:val="p"/>
          </m:rPr>
          <w:rPr>
            <w:rFonts w:ascii="Cambria Math" w:hAnsi="Cambria Math"/>
            <w:sz w:val="22"/>
            <w:highlight w:val="none"/>
          </w:rPr>
          <m:t xml:space="preserve">×0.60 </m:t>
        </m:r>
      </m:oMath>
      <w:r>
        <w:rPr>
          <w:rFonts w:ascii="Cambria" w:hAnsi="Cambria"/>
          <w:color w:val="000000" w:themeColor="text1"/>
          <w:sz w:val="22"/>
          <w:highlight w:val="none"/>
          <w14:textFill>
            <w14:solidFill>
              <w14:schemeClr w14:val="tx1"/>
            </w14:solidFill>
          </w14:textFill>
        </w:rPr>
        <w:t>=</w:t>
      </w:r>
      <w:r>
        <w:rPr>
          <w:rFonts w:hint="eastAsia" w:ascii="Cambria" w:hAnsi="Cambria"/>
          <w:color w:val="000000" w:themeColor="text1"/>
          <w:sz w:val="22"/>
          <w:highlight w:val="none"/>
          <w14:textFill>
            <w14:solidFill>
              <w14:schemeClr w14:val="tx1"/>
            </w14:solidFill>
          </w14:textFill>
        </w:rPr>
        <w:t>1.70</w:t>
      </w:r>
    </w:p>
    <w:p w14:paraId="59BE1842">
      <w:pPr>
        <w:widowControl/>
        <w:snapToGrid w:val="0"/>
        <w:spacing w:line="300" w:lineRule="auto"/>
        <w:ind w:firstLine="440"/>
        <w:jc w:val="center"/>
        <w:rPr>
          <w:rFonts w:ascii="Cambria" w:hAnsi="Cambria"/>
          <w:i/>
          <w:color w:val="000000" w:themeColor="text1"/>
          <w:sz w:val="22"/>
          <w:highlight w:val="none"/>
          <w14:textFill>
            <w14:solidFill>
              <w14:schemeClr w14:val="tx1"/>
            </w14:solidFill>
          </w14:textFill>
        </w:rPr>
      </w:pPr>
    </w:p>
    <w:p w14:paraId="5F932E06">
      <w:pPr>
        <w:widowControl/>
        <w:snapToGrid w:val="0"/>
        <w:spacing w:line="300" w:lineRule="auto"/>
        <w:ind w:firstLine="440"/>
        <w:jc w:val="center"/>
        <w:rPr>
          <w:rFonts w:ascii="Cambria" w:hAnsi="Cambria"/>
          <w:sz w:val="22"/>
          <w:highlight w:val="none"/>
        </w:rPr>
      </w:pPr>
      <w:r>
        <w:rPr>
          <w:rFonts w:ascii="Cambria" w:hAnsi="Cambria"/>
          <w:i/>
          <w:color w:val="000000" w:themeColor="text1"/>
          <w:sz w:val="22"/>
          <w:highlight w:val="none"/>
          <w14:textFill>
            <w14:solidFill>
              <w14:schemeClr w14:val="tx1"/>
            </w14:solidFill>
          </w14:textFill>
        </w:rPr>
        <w:t>R</w:t>
      </w:r>
      <w:r>
        <w:rPr>
          <w:rFonts w:ascii="Cambria" w:hAnsi="Cambria"/>
          <w:b/>
          <w:color w:val="000000" w:themeColor="text1"/>
          <w:sz w:val="22"/>
          <w:highlight w:val="none"/>
          <w14:textFill>
            <w14:solidFill>
              <w14:schemeClr w14:val="tx1"/>
            </w14:solidFill>
          </w14:textFill>
        </w:rPr>
        <w:t>=</w:t>
      </w:r>
      <w:r>
        <w:rPr>
          <w:rFonts w:ascii="Cambria" w:hAnsi="Cambria"/>
          <w:sz w:val="22"/>
          <w:highlight w:val="none"/>
        </w:rPr>
        <w:t>2.83</w:t>
      </w:r>
      <w:r>
        <w:rPr>
          <w:rFonts w:ascii="Cambria" w:hAnsi="Cambria"/>
          <w:i/>
          <w:color w:val="000000" w:themeColor="text1"/>
          <w:sz w:val="22"/>
          <w:highlight w:val="none"/>
          <w14:textFill>
            <w14:solidFill>
              <w14:schemeClr w14:val="tx1"/>
            </w14:solidFill>
          </w14:textFill>
        </w:rPr>
        <w:t>s</w:t>
      </w:r>
      <w:r>
        <w:rPr>
          <w:rFonts w:ascii="Cambria" w:hAnsi="Cambria"/>
          <w:color w:val="000000" w:themeColor="text1"/>
          <w:sz w:val="22"/>
          <w:highlight w:val="none"/>
          <w:vertAlign w:val="subscript"/>
          <w14:textFill>
            <w14:solidFill>
              <w14:schemeClr w14:val="tx1"/>
            </w14:solidFill>
          </w14:textFill>
        </w:rPr>
        <w:t>R</w:t>
      </w:r>
      <w:r>
        <w:rPr>
          <w:rFonts w:ascii="Cambria" w:hAnsi="Cambria"/>
          <w:color w:val="000000" w:themeColor="text1"/>
          <w:sz w:val="22"/>
          <w:highlight w:val="none"/>
          <w14:textFill>
            <w14:solidFill>
              <w14:schemeClr w14:val="tx1"/>
            </w14:solidFill>
          </w14:textFill>
        </w:rPr>
        <w:t>=</w:t>
      </w:r>
      <w:r>
        <w:rPr>
          <w:rFonts w:ascii="Cambria" w:hAnsi="Cambria"/>
          <w:sz w:val="22"/>
          <w:highlight w:val="none"/>
        </w:rPr>
        <w:t>2.83</w:t>
      </w:r>
      <m:oMath>
        <m:r>
          <m:rPr>
            <m:sty m:val="p"/>
          </m:rPr>
          <w:rPr>
            <w:rFonts w:ascii="Cambria Math" w:hAnsi="Cambria Math"/>
            <w:sz w:val="22"/>
            <w:highlight w:val="none"/>
          </w:rPr>
          <m:t>×</m:t>
        </m:r>
        <m:r>
          <m:rPr/>
          <w:rPr>
            <w:rFonts w:ascii="Cambria Math" w:hAnsi="Cambria Math"/>
            <w:color w:val="000000" w:themeColor="text1"/>
            <w:sz w:val="22"/>
            <w:highlight w:val="none"/>
            <w14:textFill>
              <w14:solidFill>
                <w14:schemeClr w14:val="tx1"/>
              </w14:solidFill>
            </w14:textFill>
          </w:rPr>
          <m:t>4.05</m:t>
        </m:r>
      </m:oMath>
      <w:r>
        <w:rPr>
          <w:rFonts w:ascii="Cambria" w:hAnsi="Cambria"/>
          <w:sz w:val="22"/>
          <w:highlight w:val="none"/>
        </w:rPr>
        <w:t>=</w:t>
      </w:r>
      <w:r>
        <w:rPr>
          <w:rFonts w:hint="eastAsia" w:ascii="Cambria" w:hAnsi="Cambria"/>
          <w:sz w:val="22"/>
          <w:highlight w:val="none"/>
        </w:rPr>
        <w:t>11.46</w:t>
      </w:r>
    </w:p>
    <w:p w14:paraId="3180AD3F">
      <w:pPr>
        <w:widowControl/>
        <w:snapToGrid w:val="0"/>
        <w:ind w:firstLine="442"/>
        <w:jc w:val="center"/>
        <w:rPr>
          <w:rFonts w:ascii="Cambria" w:hAnsi="Cambria"/>
          <w:highlight w:val="none"/>
        </w:rPr>
      </w:pPr>
    </w:p>
    <w:p w14:paraId="6CC94E08">
      <w:pPr>
        <w:widowControl/>
        <w:snapToGrid w:val="0"/>
        <w:spacing w:line="300" w:lineRule="auto"/>
        <w:ind w:firstLine="442"/>
        <w:rPr>
          <w:sz w:val="24"/>
          <w:highlight w:val="none"/>
        </w:rPr>
      </w:pPr>
      <w:r>
        <w:rPr>
          <w:rFonts w:hint="eastAsia"/>
          <w:sz w:val="24"/>
          <w:highlight w:val="none"/>
        </w:rPr>
        <w:t>将所得精密度数据汇总，见表13。</w:t>
      </w:r>
    </w:p>
    <w:p w14:paraId="41B624D3">
      <w:pPr>
        <w:tabs>
          <w:tab w:val="left" w:pos="6120"/>
        </w:tabs>
        <w:spacing w:before="156" w:beforeLines="50" w:line="360" w:lineRule="auto"/>
        <w:jc w:val="center"/>
        <w:rPr>
          <w:rFonts w:ascii="黑体" w:hAnsi="黑体" w:eastAsia="黑体" w:cs="黑体"/>
          <w:bCs/>
          <w:szCs w:val="21"/>
          <w:highlight w:val="none"/>
        </w:rPr>
      </w:pPr>
      <w:bookmarkStart w:id="48" w:name="OLE_LINK1"/>
      <w:r>
        <w:rPr>
          <w:rFonts w:hint="eastAsia" w:ascii="黑体" w:hAnsi="黑体" w:eastAsia="黑体" w:cs="黑体"/>
          <w:bCs/>
          <w:szCs w:val="21"/>
          <w:highlight w:val="none"/>
        </w:rPr>
        <w:t>表13精密度验证试验结果</w:t>
      </w:r>
    </w:p>
    <w:tbl>
      <w:tblPr>
        <w:tblStyle w:val="1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4"/>
        <w:gridCol w:w="1183"/>
        <w:gridCol w:w="722"/>
        <w:gridCol w:w="678"/>
        <w:gridCol w:w="767"/>
        <w:gridCol w:w="685"/>
        <w:gridCol w:w="685"/>
        <w:gridCol w:w="685"/>
        <w:gridCol w:w="685"/>
        <w:gridCol w:w="685"/>
        <w:gridCol w:w="686"/>
        <w:gridCol w:w="761"/>
      </w:tblGrid>
      <w:tr w14:paraId="2DDCA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3" w:type="pct"/>
            <w:vMerge w:val="restart"/>
            <w:tcBorders>
              <w:top w:val="single" w:color="000000" w:sz="4" w:space="0"/>
              <w:left w:val="single" w:color="000000" w:sz="4" w:space="0"/>
              <w:bottom w:val="single" w:color="000000" w:sz="4" w:space="0"/>
              <w:right w:val="single" w:color="000000" w:sz="4" w:space="0"/>
            </w:tcBorders>
            <w:vAlign w:val="center"/>
          </w:tcPr>
          <w:p w14:paraId="681CA9D7">
            <w:pPr>
              <w:pStyle w:val="18"/>
              <w:ind w:firstLine="0" w:firstLineChars="0"/>
              <w:jc w:val="center"/>
              <w:rPr>
                <w:rFonts w:hAnsi="宋体"/>
                <w:sz w:val="18"/>
                <w:szCs w:val="18"/>
                <w:highlight w:val="none"/>
              </w:rPr>
            </w:pPr>
            <w:bookmarkStart w:id="49" w:name="OLE_LINK42"/>
            <w:bookmarkStart w:id="50" w:name="OLE_LINK43"/>
            <w:r>
              <w:rPr>
                <w:rFonts w:hint="eastAsia" w:hAnsi="宋体"/>
                <w:sz w:val="18"/>
                <w:szCs w:val="18"/>
                <w:highlight w:val="none"/>
              </w:rPr>
              <w:t>材料</w:t>
            </w:r>
          </w:p>
        </w:tc>
        <w:tc>
          <w:tcPr>
            <w:tcW w:w="637" w:type="pct"/>
            <w:vMerge w:val="restart"/>
            <w:tcBorders>
              <w:top w:val="single" w:color="000000" w:sz="4" w:space="0"/>
              <w:left w:val="single" w:color="000000" w:sz="4" w:space="0"/>
              <w:bottom w:val="single" w:color="000000" w:sz="4" w:space="0"/>
              <w:right w:val="single" w:color="000000" w:sz="4" w:space="0"/>
            </w:tcBorders>
            <w:vAlign w:val="center"/>
          </w:tcPr>
          <w:p w14:paraId="2EAC9225">
            <w:pPr>
              <w:pStyle w:val="18"/>
              <w:ind w:firstLine="0" w:firstLineChars="0"/>
              <w:jc w:val="center"/>
              <w:rPr>
                <w:rFonts w:hAnsi="宋体"/>
                <w:sz w:val="18"/>
                <w:szCs w:val="18"/>
                <w:highlight w:val="none"/>
              </w:rPr>
            </w:pPr>
            <w:r>
              <w:rPr>
                <w:rFonts w:hint="eastAsia" w:hAnsi="宋体"/>
                <w:sz w:val="18"/>
                <w:szCs w:val="18"/>
                <w:highlight w:val="none"/>
              </w:rPr>
              <w:t>平均值</w:t>
            </w:r>
          </w:p>
        </w:tc>
        <w:tc>
          <w:tcPr>
            <w:tcW w:w="1166" w:type="pct"/>
            <w:gridSpan w:val="3"/>
            <w:tcBorders>
              <w:top w:val="single" w:color="000000" w:sz="4" w:space="0"/>
              <w:left w:val="single" w:color="000000" w:sz="4" w:space="0"/>
              <w:bottom w:val="single" w:color="000000" w:sz="4" w:space="0"/>
              <w:right w:val="single" w:color="000000" w:sz="4" w:space="0"/>
            </w:tcBorders>
            <w:vAlign w:val="center"/>
          </w:tcPr>
          <w:p w14:paraId="2D6F64A4">
            <w:pPr>
              <w:pStyle w:val="18"/>
              <w:ind w:firstLine="0" w:firstLineChars="0"/>
              <w:jc w:val="center"/>
              <w:rPr>
                <w:rFonts w:hAnsi="宋体"/>
                <w:sz w:val="18"/>
                <w:szCs w:val="18"/>
                <w:highlight w:val="none"/>
              </w:rPr>
            </w:pPr>
            <w:r>
              <w:rPr>
                <w:rFonts w:hint="eastAsia" w:hAnsi="宋体"/>
                <w:sz w:val="18"/>
                <w:szCs w:val="18"/>
                <w:highlight w:val="none"/>
              </w:rPr>
              <w:t>实验室内（日内）</w:t>
            </w:r>
          </w:p>
        </w:tc>
        <w:tc>
          <w:tcPr>
            <w:tcW w:w="1107" w:type="pct"/>
            <w:gridSpan w:val="3"/>
            <w:tcBorders>
              <w:top w:val="single" w:color="000000" w:sz="4" w:space="0"/>
              <w:left w:val="single" w:color="000000" w:sz="4" w:space="0"/>
              <w:bottom w:val="single" w:color="000000" w:sz="4" w:space="0"/>
              <w:right w:val="single" w:color="000000" w:sz="4" w:space="0"/>
            </w:tcBorders>
            <w:vAlign w:val="center"/>
          </w:tcPr>
          <w:p w14:paraId="2574C132">
            <w:pPr>
              <w:pStyle w:val="18"/>
              <w:ind w:firstLine="0" w:firstLineChars="0"/>
              <w:jc w:val="center"/>
              <w:rPr>
                <w:rFonts w:hAnsi="宋体"/>
                <w:sz w:val="18"/>
                <w:szCs w:val="18"/>
                <w:highlight w:val="none"/>
              </w:rPr>
            </w:pPr>
            <w:r>
              <w:rPr>
                <w:rFonts w:hint="eastAsia" w:hAnsi="宋体"/>
                <w:sz w:val="18"/>
                <w:szCs w:val="18"/>
                <w:highlight w:val="none"/>
              </w:rPr>
              <w:t>实验室内（日间）</w:t>
            </w:r>
          </w:p>
        </w:tc>
        <w:tc>
          <w:tcPr>
            <w:tcW w:w="1107" w:type="pct"/>
            <w:gridSpan w:val="3"/>
            <w:tcBorders>
              <w:top w:val="single" w:color="000000" w:sz="4" w:space="0"/>
              <w:left w:val="single" w:color="000000" w:sz="4" w:space="0"/>
              <w:bottom w:val="single" w:color="000000" w:sz="4" w:space="0"/>
              <w:right w:val="single" w:color="000000" w:sz="4" w:space="0"/>
            </w:tcBorders>
            <w:vAlign w:val="center"/>
          </w:tcPr>
          <w:p w14:paraId="0B2457EF">
            <w:pPr>
              <w:pStyle w:val="18"/>
              <w:ind w:firstLine="0" w:firstLineChars="0"/>
              <w:jc w:val="center"/>
              <w:rPr>
                <w:rFonts w:hAnsi="宋体"/>
                <w:sz w:val="18"/>
                <w:szCs w:val="18"/>
                <w:highlight w:val="none"/>
              </w:rPr>
            </w:pPr>
            <w:r>
              <w:rPr>
                <w:rFonts w:hint="eastAsia" w:hAnsi="宋体"/>
                <w:sz w:val="18"/>
                <w:szCs w:val="18"/>
                <w:highlight w:val="none"/>
              </w:rPr>
              <w:t>实验室间</w:t>
            </w:r>
          </w:p>
        </w:tc>
        <w:tc>
          <w:tcPr>
            <w:tcW w:w="411" w:type="pct"/>
            <w:vMerge w:val="restart"/>
            <w:tcBorders>
              <w:top w:val="single" w:color="000000" w:sz="4" w:space="0"/>
              <w:left w:val="single" w:color="000000" w:sz="4" w:space="0"/>
              <w:bottom w:val="single" w:color="000000" w:sz="4" w:space="0"/>
              <w:right w:val="single" w:color="000000" w:sz="4" w:space="0"/>
            </w:tcBorders>
            <w:vAlign w:val="center"/>
          </w:tcPr>
          <w:p w14:paraId="0C4E2B38">
            <w:pPr>
              <w:pStyle w:val="18"/>
              <w:ind w:firstLine="0" w:firstLineChars="0"/>
              <w:jc w:val="center"/>
              <w:rPr>
                <w:rFonts w:hAnsi="宋体"/>
                <w:sz w:val="18"/>
                <w:szCs w:val="18"/>
                <w:highlight w:val="none"/>
              </w:rPr>
            </w:pPr>
            <w:r>
              <w:rPr>
                <w:rFonts w:hint="eastAsia" w:hAnsi="宋体"/>
                <w:sz w:val="18"/>
                <w:szCs w:val="18"/>
                <w:highlight w:val="none"/>
              </w:rPr>
              <w:t>实验室数量</w:t>
            </w:r>
            <w:r>
              <w:rPr>
                <w:rFonts w:hint="eastAsia" w:hAnsi="宋体"/>
                <w:sz w:val="18"/>
                <w:szCs w:val="18"/>
                <w:highlight w:val="none"/>
                <w:vertAlign w:val="superscript"/>
              </w:rPr>
              <w:t>a</w:t>
            </w:r>
          </w:p>
        </w:tc>
      </w:tr>
      <w:tr w14:paraId="38895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575BDF3">
            <w:pPr>
              <w:widowControl/>
              <w:jc w:val="left"/>
              <w:rPr>
                <w:rFonts w:ascii="宋体" w:hAnsi="宋体" w:cs="宋体"/>
                <w:kern w:val="0"/>
                <w:sz w:val="18"/>
                <w:szCs w:val="18"/>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104D059">
            <w:pPr>
              <w:widowControl/>
              <w:jc w:val="left"/>
              <w:rPr>
                <w:rFonts w:ascii="宋体" w:hAnsi="宋体" w:cs="宋体"/>
                <w:kern w:val="0"/>
                <w:sz w:val="18"/>
                <w:szCs w:val="18"/>
                <w:highlight w:val="none"/>
              </w:rPr>
            </w:pPr>
          </w:p>
        </w:tc>
        <w:tc>
          <w:tcPr>
            <w:tcW w:w="389" w:type="pct"/>
            <w:tcBorders>
              <w:top w:val="single" w:color="000000" w:sz="4" w:space="0"/>
              <w:left w:val="single" w:color="000000" w:sz="4" w:space="0"/>
              <w:bottom w:val="single" w:color="000000" w:sz="4" w:space="0"/>
              <w:right w:val="single" w:color="000000" w:sz="4" w:space="0"/>
            </w:tcBorders>
            <w:vAlign w:val="center"/>
          </w:tcPr>
          <w:p w14:paraId="00B99B3C">
            <w:pPr>
              <w:pStyle w:val="18"/>
              <w:ind w:firstLine="0" w:firstLineChars="0"/>
              <w:jc w:val="center"/>
              <w:rPr>
                <w:rFonts w:hAnsi="宋体"/>
                <w:i/>
                <w:iCs/>
                <w:sz w:val="18"/>
                <w:szCs w:val="18"/>
                <w:highlight w:val="none"/>
              </w:rPr>
            </w:pPr>
            <w:r>
              <w:rPr>
                <w:rFonts w:hint="eastAsia" w:hAnsi="宋体"/>
                <w:i/>
                <w:iCs/>
                <w:sz w:val="18"/>
                <w:szCs w:val="18"/>
                <w:highlight w:val="none"/>
              </w:rPr>
              <w:t>s</w:t>
            </w:r>
            <w:r>
              <w:rPr>
                <w:rFonts w:hint="eastAsia" w:hAnsi="宋体"/>
                <w:i/>
                <w:iCs/>
                <w:sz w:val="18"/>
                <w:szCs w:val="18"/>
                <w:highlight w:val="none"/>
                <w:vertAlign w:val="subscript"/>
              </w:rPr>
              <w:t>r</w:t>
            </w:r>
          </w:p>
        </w:tc>
        <w:tc>
          <w:tcPr>
            <w:tcW w:w="365" w:type="pct"/>
            <w:tcBorders>
              <w:top w:val="single" w:color="000000" w:sz="4" w:space="0"/>
              <w:left w:val="single" w:color="000000" w:sz="4" w:space="0"/>
              <w:bottom w:val="single" w:color="000000" w:sz="4" w:space="0"/>
              <w:right w:val="single" w:color="000000" w:sz="4" w:space="0"/>
            </w:tcBorders>
            <w:vAlign w:val="center"/>
          </w:tcPr>
          <w:p w14:paraId="6B850969">
            <w:pPr>
              <w:pStyle w:val="18"/>
              <w:ind w:firstLine="0" w:firstLineChars="0"/>
              <w:jc w:val="center"/>
              <w:rPr>
                <w:rFonts w:hAnsi="宋体"/>
                <w:i/>
                <w:iCs/>
                <w:sz w:val="18"/>
                <w:szCs w:val="18"/>
                <w:highlight w:val="none"/>
              </w:rPr>
            </w:pPr>
            <w:r>
              <w:rPr>
                <w:rFonts w:hint="eastAsia" w:hAnsi="宋体"/>
                <w:i/>
                <w:iCs/>
                <w:sz w:val="18"/>
                <w:szCs w:val="18"/>
                <w:highlight w:val="none"/>
              </w:rPr>
              <w:t>r</w:t>
            </w:r>
          </w:p>
        </w:tc>
        <w:tc>
          <w:tcPr>
            <w:tcW w:w="413" w:type="pct"/>
            <w:tcBorders>
              <w:top w:val="single" w:color="000000" w:sz="4" w:space="0"/>
              <w:left w:val="single" w:color="000000" w:sz="4" w:space="0"/>
              <w:bottom w:val="single" w:color="000000" w:sz="4" w:space="0"/>
              <w:right w:val="single" w:color="000000" w:sz="4" w:space="0"/>
            </w:tcBorders>
            <w:vAlign w:val="center"/>
          </w:tcPr>
          <w:p w14:paraId="69C6FF53">
            <w:pPr>
              <w:pStyle w:val="18"/>
              <w:ind w:firstLine="0" w:firstLineChars="0"/>
              <w:jc w:val="center"/>
              <w:rPr>
                <w:rFonts w:hAnsi="宋体"/>
                <w:i/>
                <w:iCs/>
                <w:sz w:val="18"/>
                <w:szCs w:val="18"/>
                <w:highlight w:val="none"/>
              </w:rPr>
            </w:pPr>
            <w:r>
              <w:rPr>
                <w:rFonts w:hint="eastAsia" w:hAnsi="宋体"/>
                <w:sz w:val="18"/>
                <w:szCs w:val="18"/>
                <w:highlight w:val="none"/>
              </w:rPr>
              <w:t>(</w:t>
            </w:r>
            <w:r>
              <w:rPr>
                <w:rFonts w:hint="eastAsia" w:hAnsi="宋体"/>
                <w:i/>
                <w:iCs/>
                <w:sz w:val="18"/>
                <w:szCs w:val="18"/>
                <w:highlight w:val="none"/>
              </w:rPr>
              <w:t>r</w:t>
            </w:r>
            <w:r>
              <w:rPr>
                <w:rFonts w:hint="eastAsia" w:hAnsi="宋体"/>
                <w:sz w:val="18"/>
                <w:szCs w:val="18"/>
                <w:highlight w:val="none"/>
              </w:rPr>
              <w:t>)</w:t>
            </w:r>
          </w:p>
        </w:tc>
        <w:tc>
          <w:tcPr>
            <w:tcW w:w="369" w:type="pct"/>
            <w:tcBorders>
              <w:top w:val="single" w:color="000000" w:sz="4" w:space="0"/>
              <w:left w:val="single" w:color="000000" w:sz="4" w:space="0"/>
              <w:bottom w:val="single" w:color="000000" w:sz="4" w:space="0"/>
              <w:right w:val="single" w:color="000000" w:sz="4" w:space="0"/>
            </w:tcBorders>
            <w:vAlign w:val="center"/>
          </w:tcPr>
          <w:p w14:paraId="123DF40A">
            <w:pPr>
              <w:pStyle w:val="24"/>
              <w:rPr>
                <w:rFonts w:hAnsi="宋体"/>
                <w:szCs w:val="18"/>
                <w:highlight w:val="none"/>
              </w:rPr>
            </w:pPr>
            <w:r>
              <w:rPr>
                <w:rFonts w:hint="eastAsia" w:hAnsi="宋体"/>
                <w:i/>
                <w:iCs/>
                <w:szCs w:val="18"/>
                <w:highlight w:val="none"/>
              </w:rPr>
              <w:t>s</w:t>
            </w:r>
            <w:r>
              <w:rPr>
                <w:rFonts w:hint="eastAsia" w:hAnsi="宋体"/>
                <w:szCs w:val="18"/>
                <w:highlight w:val="none"/>
                <w:vertAlign w:val="subscript"/>
              </w:rPr>
              <w:t>rD</w:t>
            </w:r>
          </w:p>
        </w:tc>
        <w:tc>
          <w:tcPr>
            <w:tcW w:w="369" w:type="pct"/>
            <w:tcBorders>
              <w:top w:val="single" w:color="000000" w:sz="4" w:space="0"/>
              <w:left w:val="single" w:color="000000" w:sz="4" w:space="0"/>
              <w:bottom w:val="single" w:color="000000" w:sz="4" w:space="0"/>
              <w:right w:val="single" w:color="000000" w:sz="4" w:space="0"/>
            </w:tcBorders>
            <w:vAlign w:val="center"/>
          </w:tcPr>
          <w:p w14:paraId="6DC7D1C9">
            <w:pPr>
              <w:pStyle w:val="24"/>
              <w:rPr>
                <w:rFonts w:hAnsi="宋体"/>
                <w:szCs w:val="18"/>
                <w:highlight w:val="none"/>
              </w:rPr>
            </w:pPr>
            <w:r>
              <w:rPr>
                <w:rFonts w:hint="eastAsia" w:hAnsi="宋体"/>
                <w:i/>
                <w:iCs/>
                <w:szCs w:val="18"/>
                <w:highlight w:val="none"/>
              </w:rPr>
              <w:t>r</w:t>
            </w:r>
            <w:r>
              <w:rPr>
                <w:rFonts w:hint="eastAsia" w:hAnsi="宋体"/>
                <w:szCs w:val="18"/>
                <w:highlight w:val="none"/>
                <w:vertAlign w:val="subscript"/>
              </w:rPr>
              <w:t>D</w:t>
            </w:r>
          </w:p>
        </w:tc>
        <w:tc>
          <w:tcPr>
            <w:tcW w:w="369" w:type="pct"/>
            <w:tcBorders>
              <w:top w:val="single" w:color="000000" w:sz="4" w:space="0"/>
              <w:left w:val="single" w:color="000000" w:sz="4" w:space="0"/>
              <w:bottom w:val="single" w:color="000000" w:sz="4" w:space="0"/>
              <w:right w:val="single" w:color="000000" w:sz="4" w:space="0"/>
            </w:tcBorders>
            <w:vAlign w:val="center"/>
          </w:tcPr>
          <w:p w14:paraId="25C80807">
            <w:pPr>
              <w:pStyle w:val="24"/>
              <w:rPr>
                <w:rFonts w:hAnsi="宋体"/>
                <w:szCs w:val="18"/>
                <w:highlight w:val="none"/>
              </w:rPr>
            </w:pPr>
            <w:r>
              <w:rPr>
                <w:rFonts w:hint="eastAsia" w:hAnsi="宋体"/>
                <w:szCs w:val="18"/>
                <w:highlight w:val="none"/>
              </w:rPr>
              <w:t>(</w:t>
            </w:r>
            <w:r>
              <w:rPr>
                <w:rFonts w:hint="eastAsia" w:hAnsi="宋体"/>
                <w:i/>
                <w:iCs/>
                <w:szCs w:val="18"/>
                <w:highlight w:val="none"/>
              </w:rPr>
              <w:t>r</w:t>
            </w:r>
            <w:r>
              <w:rPr>
                <w:rFonts w:hint="eastAsia" w:hAnsi="宋体"/>
                <w:szCs w:val="18"/>
                <w:highlight w:val="none"/>
                <w:vertAlign w:val="subscript"/>
              </w:rPr>
              <w:t>D</w:t>
            </w:r>
            <w:r>
              <w:rPr>
                <w:rFonts w:hint="eastAsia" w:hAnsi="宋体"/>
                <w:szCs w:val="18"/>
                <w:highlight w:val="none"/>
              </w:rPr>
              <w:t>)</w:t>
            </w:r>
          </w:p>
        </w:tc>
        <w:tc>
          <w:tcPr>
            <w:tcW w:w="369" w:type="pct"/>
            <w:tcBorders>
              <w:top w:val="single" w:color="000000" w:sz="4" w:space="0"/>
              <w:left w:val="single" w:color="000000" w:sz="4" w:space="0"/>
              <w:bottom w:val="single" w:color="000000" w:sz="4" w:space="0"/>
              <w:right w:val="single" w:color="000000" w:sz="4" w:space="0"/>
            </w:tcBorders>
            <w:vAlign w:val="center"/>
          </w:tcPr>
          <w:p w14:paraId="05E8BFB3">
            <w:pPr>
              <w:pStyle w:val="18"/>
              <w:ind w:firstLine="0" w:firstLineChars="0"/>
              <w:jc w:val="center"/>
              <w:rPr>
                <w:rFonts w:hAnsi="宋体"/>
                <w:i/>
                <w:iCs/>
                <w:sz w:val="18"/>
                <w:szCs w:val="18"/>
                <w:highlight w:val="none"/>
              </w:rPr>
            </w:pPr>
            <w:r>
              <w:rPr>
                <w:rFonts w:hint="eastAsia" w:hAnsi="宋体"/>
                <w:i/>
                <w:iCs/>
                <w:sz w:val="18"/>
                <w:szCs w:val="18"/>
                <w:highlight w:val="none"/>
              </w:rPr>
              <w:t>s</w:t>
            </w:r>
            <w:r>
              <w:rPr>
                <w:rFonts w:hint="eastAsia" w:hAnsi="宋体"/>
                <w:i/>
                <w:iCs/>
                <w:sz w:val="18"/>
                <w:szCs w:val="18"/>
                <w:highlight w:val="none"/>
                <w:vertAlign w:val="subscript"/>
              </w:rPr>
              <w:t>R</w:t>
            </w:r>
          </w:p>
        </w:tc>
        <w:tc>
          <w:tcPr>
            <w:tcW w:w="369" w:type="pct"/>
            <w:tcBorders>
              <w:top w:val="single" w:color="000000" w:sz="4" w:space="0"/>
              <w:left w:val="single" w:color="000000" w:sz="4" w:space="0"/>
              <w:bottom w:val="single" w:color="000000" w:sz="4" w:space="0"/>
              <w:right w:val="single" w:color="000000" w:sz="4" w:space="0"/>
            </w:tcBorders>
            <w:vAlign w:val="center"/>
          </w:tcPr>
          <w:p w14:paraId="4D0EF09F">
            <w:pPr>
              <w:pStyle w:val="18"/>
              <w:ind w:firstLine="0" w:firstLineChars="0"/>
              <w:jc w:val="center"/>
              <w:rPr>
                <w:rFonts w:hAnsi="宋体"/>
                <w:i/>
                <w:iCs/>
                <w:sz w:val="18"/>
                <w:szCs w:val="18"/>
                <w:highlight w:val="none"/>
              </w:rPr>
            </w:pPr>
            <w:r>
              <w:rPr>
                <w:rFonts w:hint="eastAsia" w:hAnsi="宋体"/>
                <w:i/>
                <w:iCs/>
                <w:sz w:val="18"/>
                <w:szCs w:val="18"/>
                <w:highlight w:val="none"/>
              </w:rPr>
              <w:t>R</w:t>
            </w:r>
          </w:p>
        </w:tc>
        <w:tc>
          <w:tcPr>
            <w:tcW w:w="369" w:type="pct"/>
            <w:tcBorders>
              <w:top w:val="single" w:color="000000" w:sz="4" w:space="0"/>
              <w:left w:val="single" w:color="000000" w:sz="4" w:space="0"/>
              <w:bottom w:val="single" w:color="000000" w:sz="4" w:space="0"/>
              <w:right w:val="single" w:color="000000" w:sz="4" w:space="0"/>
            </w:tcBorders>
            <w:vAlign w:val="center"/>
          </w:tcPr>
          <w:p w14:paraId="5131DF40">
            <w:pPr>
              <w:pStyle w:val="18"/>
              <w:ind w:firstLine="0" w:firstLineChars="0"/>
              <w:jc w:val="center"/>
              <w:rPr>
                <w:rFonts w:hAnsi="宋体"/>
                <w:i/>
                <w:iCs/>
                <w:sz w:val="18"/>
                <w:szCs w:val="18"/>
                <w:highlight w:val="none"/>
              </w:rPr>
            </w:pPr>
            <w:r>
              <w:rPr>
                <w:rFonts w:hint="eastAsia" w:hAnsi="宋体"/>
                <w:sz w:val="18"/>
                <w:szCs w:val="18"/>
                <w:highlight w:val="none"/>
              </w:rPr>
              <w:t>(</w:t>
            </w:r>
            <w:r>
              <w:rPr>
                <w:rFonts w:hint="eastAsia" w:hAnsi="宋体"/>
                <w:i/>
                <w:sz w:val="18"/>
                <w:szCs w:val="18"/>
                <w:highlight w:val="none"/>
              </w:rPr>
              <w:t>R</w:t>
            </w:r>
            <w:r>
              <w:rPr>
                <w:rFonts w:hint="eastAsia" w:hAnsi="宋体"/>
                <w:sz w:val="18"/>
                <w:szCs w:val="18"/>
                <w:highlight w:val="none"/>
              </w:rPr>
              <w:t>)</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14E6BC7">
            <w:pPr>
              <w:widowControl/>
              <w:jc w:val="left"/>
              <w:rPr>
                <w:rFonts w:ascii="宋体" w:hAnsi="宋体" w:cs="宋体"/>
                <w:kern w:val="0"/>
                <w:sz w:val="18"/>
                <w:szCs w:val="18"/>
                <w:highlight w:val="none"/>
              </w:rPr>
            </w:pPr>
          </w:p>
        </w:tc>
      </w:tr>
      <w:tr w14:paraId="012C0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3" w:type="pct"/>
            <w:tcBorders>
              <w:top w:val="single" w:color="000000" w:sz="4" w:space="0"/>
              <w:left w:val="single" w:color="000000" w:sz="4" w:space="0"/>
              <w:bottom w:val="single" w:color="000000" w:sz="4" w:space="0"/>
              <w:right w:val="single" w:color="000000" w:sz="4" w:space="0"/>
            </w:tcBorders>
            <w:vAlign w:val="center"/>
          </w:tcPr>
          <w:p w14:paraId="07C3C413">
            <w:pPr>
              <w:pStyle w:val="18"/>
              <w:ind w:firstLine="0" w:firstLineChars="0"/>
              <w:jc w:val="center"/>
              <w:rPr>
                <w:rFonts w:hAnsi="宋体"/>
                <w:sz w:val="18"/>
                <w:szCs w:val="18"/>
                <w:highlight w:val="none"/>
              </w:rPr>
            </w:pPr>
            <w:r>
              <w:rPr>
                <w:rFonts w:hint="eastAsia" w:hAnsi="宋体"/>
                <w:sz w:val="18"/>
                <w:szCs w:val="18"/>
                <w:highlight w:val="none"/>
              </w:rPr>
              <w:t>样品A</w:t>
            </w:r>
          </w:p>
        </w:tc>
        <w:tc>
          <w:tcPr>
            <w:tcW w:w="637" w:type="pct"/>
            <w:tcBorders>
              <w:top w:val="single" w:color="000000" w:sz="4" w:space="0"/>
              <w:left w:val="single" w:color="000000" w:sz="4" w:space="0"/>
              <w:bottom w:val="single" w:color="000000" w:sz="4" w:space="0"/>
              <w:right w:val="single" w:color="000000" w:sz="4" w:space="0"/>
            </w:tcBorders>
            <w:vAlign w:val="center"/>
          </w:tcPr>
          <w:p w14:paraId="7C45BD01">
            <w:pPr>
              <w:pStyle w:val="18"/>
              <w:ind w:firstLine="0" w:firstLineChars="0"/>
              <w:jc w:val="center"/>
              <w:rPr>
                <w:rFonts w:hAnsi="宋体"/>
                <w:sz w:val="18"/>
                <w:szCs w:val="18"/>
                <w:highlight w:val="none"/>
              </w:rPr>
            </w:pPr>
            <w:r>
              <w:rPr>
                <w:rFonts w:hint="eastAsia" w:hAnsi="宋体"/>
                <w:sz w:val="18"/>
                <w:szCs w:val="18"/>
                <w:highlight w:val="none"/>
              </w:rPr>
              <w:t>6.04</w:t>
            </w:r>
          </w:p>
        </w:tc>
        <w:tc>
          <w:tcPr>
            <w:tcW w:w="389" w:type="pct"/>
            <w:tcBorders>
              <w:top w:val="single" w:color="000000" w:sz="4" w:space="0"/>
              <w:left w:val="single" w:color="000000" w:sz="4" w:space="0"/>
              <w:bottom w:val="single" w:color="000000" w:sz="4" w:space="0"/>
              <w:right w:val="single" w:color="000000" w:sz="4" w:space="0"/>
            </w:tcBorders>
            <w:vAlign w:val="center"/>
          </w:tcPr>
          <w:p w14:paraId="1A70C0BB">
            <w:pPr>
              <w:pStyle w:val="18"/>
              <w:ind w:firstLine="0" w:firstLineChars="0"/>
              <w:jc w:val="center"/>
              <w:rPr>
                <w:rFonts w:hAnsi="宋体"/>
                <w:sz w:val="18"/>
                <w:szCs w:val="18"/>
                <w:highlight w:val="none"/>
              </w:rPr>
            </w:pPr>
            <w:r>
              <w:rPr>
                <w:rFonts w:hint="eastAsia" w:hAnsi="宋体"/>
                <w:sz w:val="18"/>
                <w:szCs w:val="18"/>
                <w:highlight w:val="none"/>
              </w:rPr>
              <w:t>0.24</w:t>
            </w:r>
          </w:p>
        </w:tc>
        <w:tc>
          <w:tcPr>
            <w:tcW w:w="365" w:type="pct"/>
            <w:tcBorders>
              <w:top w:val="single" w:color="000000" w:sz="4" w:space="0"/>
              <w:left w:val="single" w:color="000000" w:sz="4" w:space="0"/>
              <w:bottom w:val="single" w:color="000000" w:sz="4" w:space="0"/>
              <w:right w:val="single" w:color="000000" w:sz="4" w:space="0"/>
            </w:tcBorders>
            <w:vAlign w:val="center"/>
          </w:tcPr>
          <w:p w14:paraId="729E9907">
            <w:pPr>
              <w:pStyle w:val="18"/>
              <w:ind w:firstLine="0" w:firstLineChars="0"/>
              <w:jc w:val="center"/>
              <w:rPr>
                <w:rFonts w:hAnsi="宋体"/>
                <w:sz w:val="18"/>
                <w:szCs w:val="18"/>
                <w:highlight w:val="none"/>
              </w:rPr>
            </w:pPr>
            <w:r>
              <w:rPr>
                <w:rFonts w:hint="eastAsia" w:hAnsi="宋体"/>
                <w:sz w:val="18"/>
                <w:szCs w:val="18"/>
                <w:highlight w:val="none"/>
              </w:rPr>
              <w:t>0.68</w:t>
            </w:r>
          </w:p>
        </w:tc>
        <w:tc>
          <w:tcPr>
            <w:tcW w:w="413" w:type="pct"/>
            <w:tcBorders>
              <w:top w:val="single" w:color="000000" w:sz="4" w:space="0"/>
              <w:left w:val="single" w:color="000000" w:sz="4" w:space="0"/>
              <w:bottom w:val="single" w:color="000000" w:sz="4" w:space="0"/>
              <w:right w:val="single" w:color="000000" w:sz="4" w:space="0"/>
            </w:tcBorders>
            <w:vAlign w:val="center"/>
          </w:tcPr>
          <w:p w14:paraId="49618C3E">
            <w:pPr>
              <w:pStyle w:val="18"/>
              <w:ind w:firstLine="0" w:firstLineChars="0"/>
              <w:jc w:val="center"/>
              <w:rPr>
                <w:rFonts w:hAnsi="宋体"/>
                <w:sz w:val="18"/>
                <w:szCs w:val="18"/>
                <w:highlight w:val="none"/>
              </w:rPr>
            </w:pPr>
            <w:r>
              <w:rPr>
                <w:rFonts w:hint="eastAsia" w:hAnsi="宋体"/>
                <w:sz w:val="18"/>
                <w:szCs w:val="18"/>
                <w:highlight w:val="none"/>
              </w:rPr>
              <w:t>11.26</w:t>
            </w:r>
          </w:p>
        </w:tc>
        <w:tc>
          <w:tcPr>
            <w:tcW w:w="369" w:type="pct"/>
            <w:tcBorders>
              <w:top w:val="single" w:color="000000" w:sz="4" w:space="0"/>
              <w:left w:val="single" w:color="000000" w:sz="4" w:space="0"/>
              <w:bottom w:val="single" w:color="000000" w:sz="4" w:space="0"/>
              <w:right w:val="single" w:color="000000" w:sz="4" w:space="0"/>
            </w:tcBorders>
            <w:vAlign w:val="center"/>
          </w:tcPr>
          <w:p w14:paraId="3E4DF32D">
            <w:pPr>
              <w:pStyle w:val="18"/>
              <w:ind w:firstLine="0" w:firstLineChars="0"/>
              <w:jc w:val="center"/>
              <w:rPr>
                <w:rFonts w:hAnsi="宋体"/>
                <w:sz w:val="18"/>
                <w:szCs w:val="18"/>
                <w:highlight w:val="none"/>
              </w:rPr>
            </w:pPr>
            <w:r>
              <w:rPr>
                <w:rFonts w:hint="eastAsia" w:hAnsi="宋体"/>
                <w:sz w:val="18"/>
                <w:szCs w:val="18"/>
                <w:highlight w:val="none"/>
              </w:rPr>
              <w:t>0.24</w:t>
            </w:r>
          </w:p>
        </w:tc>
        <w:tc>
          <w:tcPr>
            <w:tcW w:w="369" w:type="pct"/>
            <w:tcBorders>
              <w:top w:val="single" w:color="000000" w:sz="4" w:space="0"/>
              <w:left w:val="single" w:color="000000" w:sz="4" w:space="0"/>
              <w:bottom w:val="single" w:color="000000" w:sz="4" w:space="0"/>
              <w:right w:val="single" w:color="000000" w:sz="4" w:space="0"/>
            </w:tcBorders>
            <w:vAlign w:val="center"/>
          </w:tcPr>
          <w:p w14:paraId="4F76D838">
            <w:pPr>
              <w:pStyle w:val="18"/>
              <w:ind w:firstLine="0" w:firstLineChars="0"/>
              <w:jc w:val="center"/>
              <w:rPr>
                <w:rFonts w:hAnsi="宋体"/>
                <w:sz w:val="18"/>
                <w:szCs w:val="18"/>
                <w:highlight w:val="none"/>
              </w:rPr>
            </w:pPr>
            <w:r>
              <w:rPr>
                <w:rFonts w:hint="eastAsia" w:hAnsi="宋体"/>
                <w:sz w:val="18"/>
                <w:szCs w:val="18"/>
                <w:highlight w:val="none"/>
              </w:rPr>
              <w:t>0.68</w:t>
            </w:r>
          </w:p>
        </w:tc>
        <w:tc>
          <w:tcPr>
            <w:tcW w:w="369" w:type="pct"/>
            <w:tcBorders>
              <w:top w:val="single" w:color="000000" w:sz="4" w:space="0"/>
              <w:left w:val="single" w:color="000000" w:sz="4" w:space="0"/>
              <w:bottom w:val="single" w:color="000000" w:sz="4" w:space="0"/>
              <w:right w:val="single" w:color="000000" w:sz="4" w:space="0"/>
            </w:tcBorders>
            <w:vAlign w:val="center"/>
          </w:tcPr>
          <w:p w14:paraId="1D51B224">
            <w:pPr>
              <w:pStyle w:val="18"/>
              <w:ind w:firstLine="0" w:firstLineChars="0"/>
              <w:jc w:val="center"/>
              <w:rPr>
                <w:rFonts w:hAnsi="宋体"/>
                <w:sz w:val="18"/>
                <w:szCs w:val="18"/>
                <w:highlight w:val="none"/>
              </w:rPr>
            </w:pPr>
            <w:r>
              <w:rPr>
                <w:rFonts w:hint="eastAsia" w:hAnsi="宋体"/>
                <w:sz w:val="18"/>
                <w:szCs w:val="18"/>
                <w:highlight w:val="none"/>
              </w:rPr>
              <w:t>11.26</w:t>
            </w:r>
          </w:p>
        </w:tc>
        <w:tc>
          <w:tcPr>
            <w:tcW w:w="369" w:type="pct"/>
            <w:tcBorders>
              <w:top w:val="single" w:color="000000" w:sz="4" w:space="0"/>
              <w:left w:val="single" w:color="000000" w:sz="4" w:space="0"/>
              <w:bottom w:val="single" w:color="000000" w:sz="4" w:space="0"/>
              <w:right w:val="single" w:color="000000" w:sz="4" w:space="0"/>
            </w:tcBorders>
            <w:vAlign w:val="center"/>
          </w:tcPr>
          <w:p w14:paraId="622BC1BA">
            <w:pPr>
              <w:pStyle w:val="18"/>
              <w:ind w:firstLine="0" w:firstLineChars="0"/>
              <w:jc w:val="center"/>
              <w:rPr>
                <w:rFonts w:hAnsi="宋体"/>
                <w:sz w:val="18"/>
                <w:szCs w:val="18"/>
                <w:highlight w:val="none"/>
              </w:rPr>
            </w:pPr>
            <w:r>
              <w:rPr>
                <w:rFonts w:hint="eastAsia" w:hAnsi="宋体"/>
                <w:sz w:val="18"/>
                <w:szCs w:val="18"/>
                <w:highlight w:val="none"/>
              </w:rPr>
              <w:t>0.48</w:t>
            </w:r>
          </w:p>
        </w:tc>
        <w:tc>
          <w:tcPr>
            <w:tcW w:w="369" w:type="pct"/>
            <w:tcBorders>
              <w:top w:val="single" w:color="000000" w:sz="4" w:space="0"/>
              <w:left w:val="single" w:color="000000" w:sz="4" w:space="0"/>
              <w:bottom w:val="single" w:color="000000" w:sz="4" w:space="0"/>
              <w:right w:val="single" w:color="000000" w:sz="4" w:space="0"/>
            </w:tcBorders>
            <w:vAlign w:val="center"/>
          </w:tcPr>
          <w:p w14:paraId="43B3F4AE">
            <w:pPr>
              <w:pStyle w:val="18"/>
              <w:ind w:firstLine="0" w:firstLineChars="0"/>
              <w:jc w:val="center"/>
              <w:rPr>
                <w:rFonts w:hAnsi="宋体"/>
                <w:sz w:val="18"/>
                <w:szCs w:val="18"/>
                <w:highlight w:val="none"/>
              </w:rPr>
            </w:pPr>
            <w:r>
              <w:rPr>
                <w:rFonts w:hint="eastAsia" w:hAnsi="宋体"/>
                <w:sz w:val="18"/>
                <w:szCs w:val="18"/>
                <w:highlight w:val="none"/>
              </w:rPr>
              <w:t>1.37</w:t>
            </w:r>
          </w:p>
        </w:tc>
        <w:tc>
          <w:tcPr>
            <w:tcW w:w="369" w:type="pct"/>
            <w:tcBorders>
              <w:top w:val="single" w:color="000000" w:sz="4" w:space="0"/>
              <w:left w:val="single" w:color="000000" w:sz="4" w:space="0"/>
              <w:bottom w:val="single" w:color="000000" w:sz="4" w:space="0"/>
              <w:right w:val="single" w:color="000000" w:sz="4" w:space="0"/>
            </w:tcBorders>
            <w:vAlign w:val="center"/>
          </w:tcPr>
          <w:p w14:paraId="69BE9791">
            <w:pPr>
              <w:pStyle w:val="18"/>
              <w:ind w:firstLine="0" w:firstLineChars="0"/>
              <w:jc w:val="center"/>
              <w:rPr>
                <w:rFonts w:hAnsi="宋体"/>
                <w:sz w:val="18"/>
                <w:szCs w:val="18"/>
                <w:highlight w:val="none"/>
              </w:rPr>
            </w:pPr>
            <w:r>
              <w:rPr>
                <w:rFonts w:hint="eastAsia" w:hAnsi="宋体"/>
                <w:sz w:val="18"/>
                <w:szCs w:val="18"/>
                <w:highlight w:val="none"/>
              </w:rPr>
              <w:t>22.68</w:t>
            </w:r>
          </w:p>
        </w:tc>
        <w:tc>
          <w:tcPr>
            <w:tcW w:w="411" w:type="pct"/>
            <w:tcBorders>
              <w:top w:val="single" w:color="000000" w:sz="4" w:space="0"/>
              <w:left w:val="single" w:color="000000" w:sz="4" w:space="0"/>
              <w:bottom w:val="single" w:color="000000" w:sz="4" w:space="0"/>
              <w:right w:val="single" w:color="000000" w:sz="4" w:space="0"/>
            </w:tcBorders>
            <w:vAlign w:val="center"/>
          </w:tcPr>
          <w:p w14:paraId="4FC98624">
            <w:pPr>
              <w:pStyle w:val="18"/>
              <w:ind w:firstLine="0" w:firstLineChars="0"/>
              <w:jc w:val="center"/>
              <w:rPr>
                <w:rFonts w:hAnsi="宋体"/>
                <w:sz w:val="18"/>
                <w:szCs w:val="18"/>
                <w:highlight w:val="none"/>
              </w:rPr>
            </w:pPr>
            <w:r>
              <w:rPr>
                <w:rFonts w:hint="eastAsia" w:hAnsi="宋体"/>
                <w:sz w:val="18"/>
                <w:szCs w:val="18"/>
                <w:highlight w:val="none"/>
              </w:rPr>
              <w:t>6</w:t>
            </w:r>
          </w:p>
        </w:tc>
      </w:tr>
      <w:tr w14:paraId="68EE9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3" w:type="pct"/>
            <w:tcBorders>
              <w:top w:val="single" w:color="000000" w:sz="4" w:space="0"/>
              <w:left w:val="single" w:color="000000" w:sz="4" w:space="0"/>
              <w:bottom w:val="single" w:color="000000" w:sz="4" w:space="0"/>
              <w:right w:val="single" w:color="000000" w:sz="4" w:space="0"/>
            </w:tcBorders>
            <w:vAlign w:val="center"/>
          </w:tcPr>
          <w:p w14:paraId="10DE7A7F">
            <w:pPr>
              <w:pStyle w:val="18"/>
              <w:ind w:firstLine="0" w:firstLineChars="0"/>
              <w:jc w:val="center"/>
              <w:rPr>
                <w:rFonts w:hAnsi="宋体"/>
                <w:sz w:val="18"/>
                <w:szCs w:val="18"/>
                <w:highlight w:val="none"/>
              </w:rPr>
            </w:pPr>
            <w:r>
              <w:rPr>
                <w:rFonts w:hint="eastAsia" w:hAnsi="宋体"/>
                <w:sz w:val="18"/>
                <w:szCs w:val="18"/>
                <w:highlight w:val="none"/>
              </w:rPr>
              <w:t>样品B</w:t>
            </w:r>
          </w:p>
        </w:tc>
        <w:tc>
          <w:tcPr>
            <w:tcW w:w="637" w:type="pct"/>
            <w:tcBorders>
              <w:top w:val="single" w:color="000000" w:sz="4" w:space="0"/>
              <w:left w:val="single" w:color="000000" w:sz="4" w:space="0"/>
              <w:bottom w:val="single" w:color="000000" w:sz="4" w:space="0"/>
              <w:right w:val="single" w:color="000000" w:sz="4" w:space="0"/>
            </w:tcBorders>
            <w:vAlign w:val="center"/>
          </w:tcPr>
          <w:p w14:paraId="420E266A">
            <w:pPr>
              <w:pStyle w:val="18"/>
              <w:ind w:firstLine="0" w:firstLineChars="0"/>
              <w:jc w:val="center"/>
              <w:rPr>
                <w:rFonts w:hAnsi="宋体"/>
                <w:sz w:val="18"/>
                <w:szCs w:val="18"/>
                <w:highlight w:val="none"/>
              </w:rPr>
            </w:pPr>
            <w:r>
              <w:rPr>
                <w:rFonts w:hint="eastAsia" w:hAnsi="宋体"/>
                <w:sz w:val="18"/>
                <w:szCs w:val="18"/>
                <w:highlight w:val="none"/>
              </w:rPr>
              <w:t>5.62</w:t>
            </w:r>
          </w:p>
        </w:tc>
        <w:tc>
          <w:tcPr>
            <w:tcW w:w="389" w:type="pct"/>
            <w:tcBorders>
              <w:top w:val="single" w:color="000000" w:sz="4" w:space="0"/>
              <w:left w:val="single" w:color="000000" w:sz="4" w:space="0"/>
              <w:bottom w:val="single" w:color="000000" w:sz="4" w:space="0"/>
              <w:right w:val="single" w:color="000000" w:sz="4" w:space="0"/>
            </w:tcBorders>
            <w:vAlign w:val="center"/>
          </w:tcPr>
          <w:p w14:paraId="33E49267">
            <w:pPr>
              <w:pStyle w:val="18"/>
              <w:ind w:firstLine="0" w:firstLineChars="0"/>
              <w:jc w:val="center"/>
              <w:rPr>
                <w:rFonts w:hAnsi="宋体"/>
                <w:sz w:val="18"/>
                <w:szCs w:val="18"/>
                <w:highlight w:val="none"/>
              </w:rPr>
            </w:pPr>
            <w:r>
              <w:rPr>
                <w:rFonts w:hint="eastAsia" w:hAnsi="宋体"/>
                <w:sz w:val="18"/>
                <w:szCs w:val="18"/>
                <w:highlight w:val="none"/>
              </w:rPr>
              <w:t>0.39</w:t>
            </w:r>
          </w:p>
        </w:tc>
        <w:tc>
          <w:tcPr>
            <w:tcW w:w="365" w:type="pct"/>
            <w:tcBorders>
              <w:top w:val="single" w:color="000000" w:sz="4" w:space="0"/>
              <w:left w:val="single" w:color="000000" w:sz="4" w:space="0"/>
              <w:bottom w:val="single" w:color="000000" w:sz="4" w:space="0"/>
              <w:right w:val="single" w:color="000000" w:sz="4" w:space="0"/>
            </w:tcBorders>
            <w:vAlign w:val="center"/>
          </w:tcPr>
          <w:p w14:paraId="62D14C23">
            <w:pPr>
              <w:pStyle w:val="18"/>
              <w:ind w:firstLine="0" w:firstLineChars="0"/>
              <w:jc w:val="center"/>
              <w:rPr>
                <w:rFonts w:hAnsi="宋体"/>
                <w:sz w:val="18"/>
                <w:szCs w:val="18"/>
                <w:highlight w:val="none"/>
              </w:rPr>
            </w:pPr>
            <w:r>
              <w:rPr>
                <w:rFonts w:hint="eastAsia" w:hAnsi="宋体"/>
                <w:sz w:val="18"/>
                <w:szCs w:val="18"/>
                <w:highlight w:val="none"/>
              </w:rPr>
              <w:t>1.10</w:t>
            </w:r>
          </w:p>
        </w:tc>
        <w:tc>
          <w:tcPr>
            <w:tcW w:w="413" w:type="pct"/>
            <w:tcBorders>
              <w:top w:val="single" w:color="000000" w:sz="4" w:space="0"/>
              <w:left w:val="single" w:color="000000" w:sz="4" w:space="0"/>
              <w:bottom w:val="single" w:color="000000" w:sz="4" w:space="0"/>
              <w:right w:val="single" w:color="000000" w:sz="4" w:space="0"/>
            </w:tcBorders>
            <w:vAlign w:val="center"/>
          </w:tcPr>
          <w:p w14:paraId="1262C8F0">
            <w:pPr>
              <w:pStyle w:val="18"/>
              <w:ind w:firstLine="0" w:firstLineChars="0"/>
              <w:jc w:val="center"/>
              <w:rPr>
                <w:rFonts w:hAnsi="宋体"/>
                <w:sz w:val="18"/>
                <w:szCs w:val="18"/>
                <w:highlight w:val="none"/>
              </w:rPr>
            </w:pPr>
            <w:r>
              <w:rPr>
                <w:rFonts w:hint="eastAsia" w:hAnsi="宋体"/>
                <w:sz w:val="18"/>
                <w:szCs w:val="18"/>
                <w:highlight w:val="none"/>
              </w:rPr>
              <w:t>19.57</w:t>
            </w:r>
          </w:p>
        </w:tc>
        <w:tc>
          <w:tcPr>
            <w:tcW w:w="369" w:type="pct"/>
            <w:tcBorders>
              <w:top w:val="single" w:color="000000" w:sz="4" w:space="0"/>
              <w:left w:val="single" w:color="000000" w:sz="4" w:space="0"/>
              <w:bottom w:val="single" w:color="000000" w:sz="4" w:space="0"/>
              <w:right w:val="single" w:color="000000" w:sz="4" w:space="0"/>
            </w:tcBorders>
            <w:vAlign w:val="center"/>
          </w:tcPr>
          <w:p w14:paraId="72C35A14">
            <w:pPr>
              <w:pStyle w:val="18"/>
              <w:ind w:firstLine="0" w:firstLineChars="0"/>
              <w:jc w:val="center"/>
              <w:rPr>
                <w:rFonts w:hAnsi="宋体"/>
                <w:sz w:val="18"/>
                <w:szCs w:val="18"/>
                <w:highlight w:val="none"/>
              </w:rPr>
            </w:pPr>
            <w:r>
              <w:rPr>
                <w:rFonts w:hint="eastAsia" w:hAnsi="宋体"/>
                <w:sz w:val="18"/>
                <w:szCs w:val="18"/>
                <w:highlight w:val="none"/>
              </w:rPr>
              <w:t>0.39</w:t>
            </w:r>
          </w:p>
        </w:tc>
        <w:tc>
          <w:tcPr>
            <w:tcW w:w="369" w:type="pct"/>
            <w:tcBorders>
              <w:top w:val="single" w:color="000000" w:sz="4" w:space="0"/>
              <w:left w:val="single" w:color="000000" w:sz="4" w:space="0"/>
              <w:bottom w:val="single" w:color="000000" w:sz="4" w:space="0"/>
              <w:right w:val="single" w:color="000000" w:sz="4" w:space="0"/>
            </w:tcBorders>
            <w:vAlign w:val="center"/>
          </w:tcPr>
          <w:p w14:paraId="4B63A8A0">
            <w:pPr>
              <w:pStyle w:val="18"/>
              <w:ind w:firstLine="0" w:firstLineChars="0"/>
              <w:jc w:val="center"/>
              <w:rPr>
                <w:rFonts w:hAnsi="宋体"/>
                <w:sz w:val="18"/>
                <w:szCs w:val="18"/>
                <w:highlight w:val="none"/>
              </w:rPr>
            </w:pPr>
            <w:r>
              <w:rPr>
                <w:rFonts w:hint="eastAsia" w:hAnsi="宋体"/>
                <w:sz w:val="18"/>
                <w:szCs w:val="18"/>
                <w:highlight w:val="none"/>
              </w:rPr>
              <w:t>1.10</w:t>
            </w:r>
          </w:p>
        </w:tc>
        <w:tc>
          <w:tcPr>
            <w:tcW w:w="369" w:type="pct"/>
            <w:tcBorders>
              <w:top w:val="single" w:color="000000" w:sz="4" w:space="0"/>
              <w:left w:val="single" w:color="000000" w:sz="4" w:space="0"/>
              <w:bottom w:val="single" w:color="000000" w:sz="4" w:space="0"/>
              <w:right w:val="single" w:color="000000" w:sz="4" w:space="0"/>
            </w:tcBorders>
            <w:vAlign w:val="center"/>
          </w:tcPr>
          <w:p w14:paraId="4948E99A">
            <w:pPr>
              <w:pStyle w:val="18"/>
              <w:ind w:firstLine="0" w:firstLineChars="0"/>
              <w:jc w:val="center"/>
              <w:rPr>
                <w:rFonts w:hAnsi="宋体"/>
                <w:sz w:val="18"/>
                <w:szCs w:val="18"/>
                <w:highlight w:val="none"/>
              </w:rPr>
            </w:pPr>
            <w:r>
              <w:rPr>
                <w:rFonts w:hint="eastAsia" w:hAnsi="宋体"/>
                <w:sz w:val="18"/>
                <w:szCs w:val="18"/>
                <w:highlight w:val="none"/>
              </w:rPr>
              <w:t>19.57</w:t>
            </w:r>
          </w:p>
        </w:tc>
        <w:tc>
          <w:tcPr>
            <w:tcW w:w="369" w:type="pct"/>
            <w:tcBorders>
              <w:top w:val="single" w:color="000000" w:sz="4" w:space="0"/>
              <w:left w:val="single" w:color="000000" w:sz="4" w:space="0"/>
              <w:bottom w:val="single" w:color="000000" w:sz="4" w:space="0"/>
              <w:right w:val="single" w:color="000000" w:sz="4" w:space="0"/>
            </w:tcBorders>
            <w:vAlign w:val="center"/>
          </w:tcPr>
          <w:p w14:paraId="0D368CDE">
            <w:pPr>
              <w:pStyle w:val="18"/>
              <w:ind w:firstLine="0" w:firstLineChars="0"/>
              <w:jc w:val="center"/>
              <w:rPr>
                <w:rFonts w:hAnsi="宋体"/>
                <w:sz w:val="18"/>
                <w:szCs w:val="18"/>
                <w:highlight w:val="none"/>
              </w:rPr>
            </w:pPr>
            <w:r>
              <w:rPr>
                <w:rFonts w:hint="eastAsia" w:hAnsi="宋体"/>
                <w:sz w:val="18"/>
                <w:szCs w:val="18"/>
                <w:highlight w:val="none"/>
              </w:rPr>
              <w:t>0.55</w:t>
            </w:r>
          </w:p>
        </w:tc>
        <w:tc>
          <w:tcPr>
            <w:tcW w:w="369" w:type="pct"/>
            <w:tcBorders>
              <w:top w:val="single" w:color="000000" w:sz="4" w:space="0"/>
              <w:left w:val="single" w:color="000000" w:sz="4" w:space="0"/>
              <w:bottom w:val="single" w:color="000000" w:sz="4" w:space="0"/>
              <w:right w:val="single" w:color="000000" w:sz="4" w:space="0"/>
            </w:tcBorders>
            <w:vAlign w:val="center"/>
          </w:tcPr>
          <w:p w14:paraId="00C6E4EA">
            <w:pPr>
              <w:pStyle w:val="18"/>
              <w:ind w:firstLine="0" w:firstLineChars="0"/>
              <w:jc w:val="center"/>
              <w:rPr>
                <w:rFonts w:hAnsi="宋体"/>
                <w:sz w:val="18"/>
                <w:szCs w:val="18"/>
                <w:highlight w:val="none"/>
              </w:rPr>
            </w:pPr>
            <w:r>
              <w:rPr>
                <w:rFonts w:hint="eastAsia" w:hAnsi="宋体"/>
                <w:sz w:val="18"/>
                <w:szCs w:val="18"/>
                <w:highlight w:val="none"/>
              </w:rPr>
              <w:t>1.56</w:t>
            </w:r>
          </w:p>
        </w:tc>
        <w:tc>
          <w:tcPr>
            <w:tcW w:w="369" w:type="pct"/>
            <w:tcBorders>
              <w:top w:val="single" w:color="000000" w:sz="4" w:space="0"/>
              <w:left w:val="single" w:color="000000" w:sz="4" w:space="0"/>
              <w:bottom w:val="single" w:color="000000" w:sz="4" w:space="0"/>
              <w:right w:val="single" w:color="000000" w:sz="4" w:space="0"/>
            </w:tcBorders>
            <w:vAlign w:val="center"/>
          </w:tcPr>
          <w:p w14:paraId="69488453">
            <w:pPr>
              <w:pStyle w:val="18"/>
              <w:ind w:firstLine="0" w:firstLineChars="0"/>
              <w:jc w:val="center"/>
              <w:rPr>
                <w:rFonts w:hAnsi="宋体"/>
                <w:sz w:val="18"/>
                <w:szCs w:val="18"/>
                <w:highlight w:val="none"/>
              </w:rPr>
            </w:pPr>
            <w:r>
              <w:rPr>
                <w:rFonts w:hint="eastAsia" w:hAnsi="宋体"/>
                <w:sz w:val="18"/>
                <w:szCs w:val="18"/>
                <w:highlight w:val="none"/>
              </w:rPr>
              <w:t>27.76</w:t>
            </w:r>
          </w:p>
        </w:tc>
        <w:tc>
          <w:tcPr>
            <w:tcW w:w="411" w:type="pct"/>
            <w:tcBorders>
              <w:top w:val="single" w:color="000000" w:sz="4" w:space="0"/>
              <w:left w:val="single" w:color="000000" w:sz="4" w:space="0"/>
              <w:bottom w:val="single" w:color="000000" w:sz="4" w:space="0"/>
              <w:right w:val="single" w:color="000000" w:sz="4" w:space="0"/>
            </w:tcBorders>
            <w:vAlign w:val="center"/>
          </w:tcPr>
          <w:p w14:paraId="1E096183">
            <w:pPr>
              <w:pStyle w:val="18"/>
              <w:ind w:firstLine="0" w:firstLineChars="0"/>
              <w:jc w:val="center"/>
              <w:rPr>
                <w:rFonts w:hAnsi="宋体"/>
                <w:sz w:val="18"/>
                <w:szCs w:val="18"/>
                <w:highlight w:val="none"/>
              </w:rPr>
            </w:pPr>
            <w:r>
              <w:rPr>
                <w:rFonts w:hint="eastAsia" w:hAnsi="宋体"/>
                <w:sz w:val="18"/>
                <w:szCs w:val="18"/>
                <w:highlight w:val="none"/>
              </w:rPr>
              <w:t>6</w:t>
            </w:r>
          </w:p>
        </w:tc>
      </w:tr>
      <w:tr w14:paraId="6F3A3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3" w:type="pct"/>
            <w:tcBorders>
              <w:top w:val="single" w:color="000000" w:sz="4" w:space="0"/>
              <w:left w:val="single" w:color="000000" w:sz="4" w:space="0"/>
              <w:bottom w:val="single" w:color="000000" w:sz="4" w:space="0"/>
              <w:right w:val="single" w:color="000000" w:sz="4" w:space="0"/>
            </w:tcBorders>
            <w:vAlign w:val="center"/>
          </w:tcPr>
          <w:p w14:paraId="24749BB1">
            <w:pPr>
              <w:pStyle w:val="18"/>
              <w:ind w:firstLine="0" w:firstLineChars="0"/>
              <w:jc w:val="center"/>
              <w:rPr>
                <w:rFonts w:hAnsi="宋体"/>
                <w:sz w:val="18"/>
                <w:szCs w:val="18"/>
                <w:highlight w:val="none"/>
              </w:rPr>
            </w:pPr>
            <w:r>
              <w:rPr>
                <w:rFonts w:hint="eastAsia" w:hAnsi="宋体"/>
                <w:sz w:val="18"/>
                <w:szCs w:val="18"/>
                <w:highlight w:val="none"/>
              </w:rPr>
              <w:t>样品C</w:t>
            </w:r>
          </w:p>
        </w:tc>
        <w:tc>
          <w:tcPr>
            <w:tcW w:w="637" w:type="pct"/>
            <w:tcBorders>
              <w:top w:val="single" w:color="000000" w:sz="4" w:space="0"/>
              <w:left w:val="single" w:color="000000" w:sz="4" w:space="0"/>
              <w:bottom w:val="single" w:color="000000" w:sz="4" w:space="0"/>
              <w:right w:val="single" w:color="000000" w:sz="4" w:space="0"/>
            </w:tcBorders>
            <w:vAlign w:val="center"/>
          </w:tcPr>
          <w:p w14:paraId="2885AAF2">
            <w:pPr>
              <w:pStyle w:val="18"/>
              <w:ind w:firstLine="0" w:firstLineChars="0"/>
              <w:jc w:val="center"/>
              <w:rPr>
                <w:rFonts w:hAnsi="宋体"/>
                <w:sz w:val="18"/>
                <w:szCs w:val="18"/>
                <w:highlight w:val="none"/>
              </w:rPr>
            </w:pPr>
            <w:r>
              <w:rPr>
                <w:rFonts w:hint="eastAsia" w:hAnsi="宋体"/>
                <w:sz w:val="18"/>
                <w:szCs w:val="18"/>
                <w:highlight w:val="none"/>
              </w:rPr>
              <w:t>13.86</w:t>
            </w:r>
          </w:p>
        </w:tc>
        <w:tc>
          <w:tcPr>
            <w:tcW w:w="389" w:type="pct"/>
            <w:tcBorders>
              <w:top w:val="single" w:color="000000" w:sz="4" w:space="0"/>
              <w:left w:val="single" w:color="000000" w:sz="4" w:space="0"/>
              <w:bottom w:val="single" w:color="000000" w:sz="4" w:space="0"/>
              <w:right w:val="single" w:color="000000" w:sz="4" w:space="0"/>
            </w:tcBorders>
            <w:vAlign w:val="center"/>
          </w:tcPr>
          <w:p w14:paraId="2AFBD0FE">
            <w:pPr>
              <w:pStyle w:val="18"/>
              <w:ind w:firstLine="0" w:firstLineChars="0"/>
              <w:jc w:val="center"/>
              <w:rPr>
                <w:rFonts w:hAnsi="宋体"/>
                <w:sz w:val="18"/>
                <w:szCs w:val="18"/>
                <w:highlight w:val="none"/>
              </w:rPr>
            </w:pPr>
            <w:r>
              <w:rPr>
                <w:rFonts w:hint="eastAsia" w:hAnsi="宋体"/>
                <w:sz w:val="18"/>
                <w:szCs w:val="18"/>
                <w:highlight w:val="none"/>
              </w:rPr>
              <w:t>0.48</w:t>
            </w:r>
          </w:p>
        </w:tc>
        <w:tc>
          <w:tcPr>
            <w:tcW w:w="365" w:type="pct"/>
            <w:tcBorders>
              <w:top w:val="single" w:color="000000" w:sz="4" w:space="0"/>
              <w:left w:val="single" w:color="000000" w:sz="4" w:space="0"/>
              <w:bottom w:val="single" w:color="000000" w:sz="4" w:space="0"/>
              <w:right w:val="single" w:color="000000" w:sz="4" w:space="0"/>
            </w:tcBorders>
            <w:vAlign w:val="center"/>
          </w:tcPr>
          <w:p w14:paraId="198D7A44">
            <w:pPr>
              <w:pStyle w:val="18"/>
              <w:ind w:firstLine="0" w:firstLineChars="0"/>
              <w:jc w:val="center"/>
              <w:rPr>
                <w:rFonts w:hAnsi="宋体"/>
                <w:sz w:val="18"/>
                <w:szCs w:val="18"/>
                <w:highlight w:val="none"/>
              </w:rPr>
            </w:pPr>
            <w:r>
              <w:rPr>
                <w:rFonts w:hint="eastAsia" w:hAnsi="宋体"/>
                <w:sz w:val="18"/>
                <w:szCs w:val="18"/>
                <w:highlight w:val="none"/>
              </w:rPr>
              <w:t>1.70</w:t>
            </w:r>
          </w:p>
        </w:tc>
        <w:tc>
          <w:tcPr>
            <w:tcW w:w="413" w:type="pct"/>
            <w:tcBorders>
              <w:top w:val="single" w:color="000000" w:sz="4" w:space="0"/>
              <w:left w:val="single" w:color="000000" w:sz="4" w:space="0"/>
              <w:bottom w:val="single" w:color="000000" w:sz="4" w:space="0"/>
              <w:right w:val="single" w:color="000000" w:sz="4" w:space="0"/>
            </w:tcBorders>
            <w:vAlign w:val="center"/>
          </w:tcPr>
          <w:p w14:paraId="63983BF2">
            <w:pPr>
              <w:pStyle w:val="18"/>
              <w:ind w:firstLine="0" w:firstLineChars="0"/>
              <w:jc w:val="center"/>
              <w:rPr>
                <w:rFonts w:hAnsi="宋体"/>
                <w:sz w:val="18"/>
                <w:szCs w:val="18"/>
                <w:highlight w:val="none"/>
              </w:rPr>
            </w:pPr>
            <w:r>
              <w:rPr>
                <w:rFonts w:hint="eastAsia" w:hAnsi="宋体"/>
                <w:sz w:val="18"/>
                <w:szCs w:val="18"/>
                <w:highlight w:val="none"/>
              </w:rPr>
              <w:t>12.27</w:t>
            </w:r>
          </w:p>
        </w:tc>
        <w:tc>
          <w:tcPr>
            <w:tcW w:w="369" w:type="pct"/>
            <w:tcBorders>
              <w:top w:val="single" w:color="000000" w:sz="4" w:space="0"/>
              <w:left w:val="single" w:color="000000" w:sz="4" w:space="0"/>
              <w:bottom w:val="single" w:color="000000" w:sz="4" w:space="0"/>
              <w:right w:val="single" w:color="000000" w:sz="4" w:space="0"/>
            </w:tcBorders>
            <w:vAlign w:val="center"/>
          </w:tcPr>
          <w:p w14:paraId="6240AA6C">
            <w:pPr>
              <w:pStyle w:val="18"/>
              <w:ind w:firstLine="0" w:firstLineChars="0"/>
              <w:jc w:val="center"/>
              <w:rPr>
                <w:rFonts w:hAnsi="宋体"/>
                <w:sz w:val="18"/>
                <w:szCs w:val="18"/>
                <w:highlight w:val="none"/>
              </w:rPr>
            </w:pPr>
            <w:r>
              <w:rPr>
                <w:rFonts w:hint="eastAsia" w:hAnsi="宋体"/>
                <w:sz w:val="18"/>
                <w:szCs w:val="18"/>
                <w:highlight w:val="none"/>
              </w:rPr>
              <w:t>0.70</w:t>
            </w:r>
          </w:p>
        </w:tc>
        <w:tc>
          <w:tcPr>
            <w:tcW w:w="369" w:type="pct"/>
            <w:tcBorders>
              <w:top w:val="single" w:color="000000" w:sz="4" w:space="0"/>
              <w:left w:val="single" w:color="000000" w:sz="4" w:space="0"/>
              <w:bottom w:val="single" w:color="000000" w:sz="4" w:space="0"/>
              <w:right w:val="single" w:color="000000" w:sz="4" w:space="0"/>
            </w:tcBorders>
            <w:vAlign w:val="center"/>
          </w:tcPr>
          <w:p w14:paraId="65D6E692">
            <w:pPr>
              <w:pStyle w:val="18"/>
              <w:ind w:firstLine="0" w:firstLineChars="0"/>
              <w:jc w:val="center"/>
              <w:rPr>
                <w:rFonts w:hAnsi="宋体"/>
                <w:sz w:val="18"/>
                <w:szCs w:val="18"/>
                <w:highlight w:val="none"/>
              </w:rPr>
            </w:pPr>
            <w:r>
              <w:rPr>
                <w:rFonts w:hint="eastAsia" w:hAnsi="宋体"/>
                <w:sz w:val="18"/>
                <w:szCs w:val="18"/>
                <w:highlight w:val="none"/>
              </w:rPr>
              <w:t>1.70</w:t>
            </w:r>
          </w:p>
        </w:tc>
        <w:tc>
          <w:tcPr>
            <w:tcW w:w="369" w:type="pct"/>
            <w:tcBorders>
              <w:top w:val="single" w:color="000000" w:sz="4" w:space="0"/>
              <w:left w:val="single" w:color="000000" w:sz="4" w:space="0"/>
              <w:bottom w:val="single" w:color="000000" w:sz="4" w:space="0"/>
              <w:right w:val="single" w:color="000000" w:sz="4" w:space="0"/>
            </w:tcBorders>
            <w:vAlign w:val="center"/>
          </w:tcPr>
          <w:p w14:paraId="00585A1E">
            <w:pPr>
              <w:pStyle w:val="18"/>
              <w:ind w:firstLine="0" w:firstLineChars="0"/>
              <w:jc w:val="center"/>
              <w:rPr>
                <w:rFonts w:hAnsi="宋体"/>
                <w:sz w:val="18"/>
                <w:szCs w:val="18"/>
                <w:highlight w:val="none"/>
              </w:rPr>
            </w:pPr>
            <w:r>
              <w:rPr>
                <w:rFonts w:hint="eastAsia" w:hAnsi="宋体"/>
                <w:sz w:val="18"/>
                <w:szCs w:val="18"/>
                <w:highlight w:val="none"/>
              </w:rPr>
              <w:t>12.27</w:t>
            </w:r>
          </w:p>
        </w:tc>
        <w:tc>
          <w:tcPr>
            <w:tcW w:w="369" w:type="pct"/>
            <w:tcBorders>
              <w:top w:val="single" w:color="000000" w:sz="4" w:space="0"/>
              <w:left w:val="single" w:color="000000" w:sz="4" w:space="0"/>
              <w:bottom w:val="single" w:color="000000" w:sz="4" w:space="0"/>
              <w:right w:val="single" w:color="000000" w:sz="4" w:space="0"/>
            </w:tcBorders>
            <w:vAlign w:val="center"/>
          </w:tcPr>
          <w:p w14:paraId="5885D3AA">
            <w:pPr>
              <w:pStyle w:val="18"/>
              <w:ind w:firstLine="0" w:firstLineChars="0"/>
              <w:jc w:val="center"/>
              <w:rPr>
                <w:rFonts w:hAnsi="宋体"/>
                <w:sz w:val="18"/>
                <w:szCs w:val="18"/>
                <w:highlight w:val="none"/>
              </w:rPr>
            </w:pPr>
            <w:r>
              <w:rPr>
                <w:rFonts w:hint="eastAsia" w:hAnsi="宋体"/>
                <w:sz w:val="18"/>
                <w:szCs w:val="18"/>
                <w:highlight w:val="none"/>
              </w:rPr>
              <w:t>4.07</w:t>
            </w:r>
          </w:p>
        </w:tc>
        <w:tc>
          <w:tcPr>
            <w:tcW w:w="369" w:type="pct"/>
            <w:tcBorders>
              <w:top w:val="single" w:color="000000" w:sz="4" w:space="0"/>
              <w:left w:val="single" w:color="000000" w:sz="4" w:space="0"/>
              <w:bottom w:val="single" w:color="000000" w:sz="4" w:space="0"/>
              <w:right w:val="single" w:color="000000" w:sz="4" w:space="0"/>
            </w:tcBorders>
            <w:vAlign w:val="center"/>
          </w:tcPr>
          <w:p w14:paraId="21160564">
            <w:pPr>
              <w:pStyle w:val="18"/>
              <w:ind w:firstLine="0" w:firstLineChars="0"/>
              <w:jc w:val="center"/>
              <w:rPr>
                <w:rFonts w:hAnsi="宋体"/>
                <w:sz w:val="18"/>
                <w:szCs w:val="18"/>
                <w:highlight w:val="none"/>
              </w:rPr>
            </w:pPr>
            <w:r>
              <w:rPr>
                <w:rFonts w:hint="eastAsia" w:hAnsi="宋体"/>
                <w:sz w:val="18"/>
                <w:szCs w:val="18"/>
                <w:highlight w:val="none"/>
              </w:rPr>
              <w:t>11.46</w:t>
            </w:r>
          </w:p>
        </w:tc>
        <w:tc>
          <w:tcPr>
            <w:tcW w:w="369" w:type="pct"/>
            <w:tcBorders>
              <w:top w:val="single" w:color="000000" w:sz="4" w:space="0"/>
              <w:left w:val="single" w:color="000000" w:sz="4" w:space="0"/>
              <w:bottom w:val="single" w:color="000000" w:sz="4" w:space="0"/>
              <w:right w:val="single" w:color="000000" w:sz="4" w:space="0"/>
            </w:tcBorders>
            <w:vAlign w:val="center"/>
          </w:tcPr>
          <w:p w14:paraId="64D98D04">
            <w:pPr>
              <w:pStyle w:val="18"/>
              <w:ind w:firstLine="0" w:firstLineChars="0"/>
              <w:jc w:val="center"/>
              <w:rPr>
                <w:rFonts w:hAnsi="宋体"/>
                <w:sz w:val="18"/>
                <w:szCs w:val="18"/>
                <w:highlight w:val="none"/>
              </w:rPr>
            </w:pPr>
            <w:r>
              <w:rPr>
                <w:rFonts w:hint="eastAsia" w:hAnsi="宋体"/>
                <w:sz w:val="18"/>
                <w:szCs w:val="18"/>
                <w:highlight w:val="none"/>
              </w:rPr>
              <w:t>82.68</w:t>
            </w:r>
          </w:p>
        </w:tc>
        <w:tc>
          <w:tcPr>
            <w:tcW w:w="411" w:type="pct"/>
            <w:tcBorders>
              <w:top w:val="single" w:color="000000" w:sz="4" w:space="0"/>
              <w:left w:val="single" w:color="000000" w:sz="4" w:space="0"/>
              <w:bottom w:val="single" w:color="000000" w:sz="4" w:space="0"/>
              <w:right w:val="single" w:color="000000" w:sz="4" w:space="0"/>
            </w:tcBorders>
            <w:vAlign w:val="center"/>
          </w:tcPr>
          <w:p w14:paraId="0903BB6E">
            <w:pPr>
              <w:pStyle w:val="18"/>
              <w:ind w:firstLine="0" w:firstLineChars="0"/>
              <w:jc w:val="center"/>
              <w:rPr>
                <w:rFonts w:hAnsi="宋体"/>
                <w:sz w:val="18"/>
                <w:szCs w:val="18"/>
                <w:highlight w:val="none"/>
              </w:rPr>
            </w:pPr>
            <w:r>
              <w:rPr>
                <w:rFonts w:hint="eastAsia" w:hAnsi="宋体"/>
                <w:sz w:val="18"/>
                <w:szCs w:val="18"/>
                <w:highlight w:val="none"/>
              </w:rPr>
              <w:t>7</w:t>
            </w:r>
          </w:p>
        </w:tc>
      </w:tr>
      <w:tr w14:paraId="28E6D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12"/>
            <w:tcBorders>
              <w:top w:val="single" w:color="000000" w:sz="4" w:space="0"/>
              <w:left w:val="single" w:color="000000" w:sz="4" w:space="0"/>
              <w:bottom w:val="single" w:color="000000" w:sz="4" w:space="0"/>
              <w:right w:val="single" w:color="000000" w:sz="4" w:space="0"/>
            </w:tcBorders>
            <w:vAlign w:val="center"/>
          </w:tcPr>
          <w:p w14:paraId="266EC0AD">
            <w:pPr>
              <w:pStyle w:val="40"/>
              <w:rPr>
                <w:kern w:val="2"/>
                <w:szCs w:val="21"/>
                <w:highlight w:val="none"/>
                <w:vertAlign w:val="superscript"/>
              </w:rPr>
            </w:pPr>
          </w:p>
          <w:p w14:paraId="01E27A1A">
            <w:pPr>
              <w:pStyle w:val="24"/>
              <w:ind w:firstLine="360" w:firstLineChars="200"/>
              <w:jc w:val="left"/>
              <w:rPr>
                <w:rFonts w:hAnsi="宋体"/>
                <w:szCs w:val="18"/>
                <w:highlight w:val="none"/>
              </w:rPr>
            </w:pPr>
            <w:r>
              <w:rPr>
                <w:rFonts w:hint="eastAsia" w:hAnsi="宋体"/>
                <w:i/>
                <w:iCs/>
                <w:szCs w:val="18"/>
                <w:highlight w:val="none"/>
              </w:rPr>
              <w:t>s</w:t>
            </w:r>
            <w:r>
              <w:rPr>
                <w:rFonts w:hint="eastAsia" w:hAnsi="宋体"/>
                <w:szCs w:val="18"/>
                <w:highlight w:val="none"/>
                <w:vertAlign w:val="subscript"/>
              </w:rPr>
              <w:t>r</w:t>
            </w:r>
            <w:r>
              <w:rPr>
                <w:rFonts w:hint="eastAsia" w:hAnsi="宋体"/>
                <w:szCs w:val="18"/>
                <w:highlight w:val="none"/>
              </w:rPr>
              <w:t xml:space="preserve">    ——重复性标准差；</w:t>
            </w:r>
          </w:p>
          <w:p w14:paraId="6872F555">
            <w:pPr>
              <w:pStyle w:val="24"/>
              <w:ind w:firstLine="360" w:firstLineChars="200"/>
              <w:jc w:val="left"/>
              <w:rPr>
                <w:rFonts w:hAnsi="宋体"/>
                <w:szCs w:val="18"/>
                <w:highlight w:val="none"/>
              </w:rPr>
            </w:pPr>
            <w:r>
              <w:rPr>
                <w:rFonts w:hint="eastAsia" w:hAnsi="宋体"/>
                <w:i/>
                <w:iCs/>
                <w:szCs w:val="18"/>
                <w:highlight w:val="none"/>
              </w:rPr>
              <w:t>r</w:t>
            </w:r>
            <w:r>
              <w:rPr>
                <w:rFonts w:hint="eastAsia" w:hAnsi="宋体"/>
                <w:szCs w:val="18"/>
                <w:highlight w:val="none"/>
              </w:rPr>
              <w:t xml:space="preserve">    ——重复性，以测定单位表示；</w:t>
            </w:r>
          </w:p>
          <w:p w14:paraId="1D3ABF6F">
            <w:pPr>
              <w:pStyle w:val="24"/>
              <w:ind w:firstLine="268" w:firstLineChars="149"/>
              <w:jc w:val="left"/>
              <w:rPr>
                <w:rFonts w:hAnsi="宋体"/>
                <w:szCs w:val="18"/>
                <w:highlight w:val="none"/>
              </w:rPr>
            </w:pPr>
            <w:r>
              <w:rPr>
                <w:rFonts w:hint="eastAsia" w:hAnsi="宋体"/>
                <w:szCs w:val="18"/>
                <w:highlight w:val="none"/>
              </w:rPr>
              <w:t>（</w:t>
            </w:r>
            <w:r>
              <w:rPr>
                <w:rFonts w:hint="eastAsia" w:hAnsi="宋体"/>
                <w:i/>
                <w:iCs/>
                <w:szCs w:val="18"/>
                <w:highlight w:val="none"/>
              </w:rPr>
              <w:t>r</w:t>
            </w:r>
            <w:r>
              <w:rPr>
                <w:rFonts w:hint="eastAsia" w:hAnsi="宋体"/>
                <w:szCs w:val="18"/>
                <w:highlight w:val="none"/>
              </w:rPr>
              <w:t>） ——相对日内重复性，%；</w:t>
            </w:r>
          </w:p>
          <w:p w14:paraId="71CED1F9">
            <w:pPr>
              <w:pStyle w:val="24"/>
              <w:ind w:firstLine="360" w:firstLineChars="200"/>
              <w:jc w:val="left"/>
              <w:rPr>
                <w:rFonts w:hAnsi="宋体"/>
                <w:szCs w:val="18"/>
                <w:highlight w:val="none"/>
              </w:rPr>
            </w:pPr>
            <w:r>
              <w:rPr>
                <w:rFonts w:hint="eastAsia" w:hAnsi="宋体"/>
                <w:i/>
                <w:iCs/>
                <w:szCs w:val="18"/>
                <w:highlight w:val="none"/>
              </w:rPr>
              <w:t>s</w:t>
            </w:r>
            <w:r>
              <w:rPr>
                <w:rFonts w:hint="eastAsia" w:hAnsi="宋体"/>
                <w:szCs w:val="18"/>
                <w:highlight w:val="none"/>
                <w:vertAlign w:val="subscript"/>
              </w:rPr>
              <w:t>rD</w:t>
            </w:r>
            <w:r>
              <w:rPr>
                <w:rFonts w:hint="eastAsia" w:hAnsi="宋体"/>
                <w:szCs w:val="18"/>
                <w:highlight w:val="none"/>
              </w:rPr>
              <w:t xml:space="preserve">   ——日间重复性标准差；</w:t>
            </w:r>
          </w:p>
          <w:p w14:paraId="265A36B1">
            <w:pPr>
              <w:pStyle w:val="24"/>
              <w:ind w:firstLine="360" w:firstLineChars="200"/>
              <w:jc w:val="left"/>
              <w:rPr>
                <w:rFonts w:hAnsi="宋体"/>
                <w:szCs w:val="18"/>
                <w:highlight w:val="none"/>
              </w:rPr>
            </w:pPr>
            <w:r>
              <w:rPr>
                <w:rFonts w:hint="eastAsia" w:hAnsi="宋体"/>
                <w:i/>
                <w:iCs/>
                <w:szCs w:val="18"/>
                <w:highlight w:val="none"/>
              </w:rPr>
              <w:t>r</w:t>
            </w:r>
            <w:r>
              <w:rPr>
                <w:rFonts w:hint="eastAsia" w:hAnsi="宋体"/>
                <w:szCs w:val="18"/>
                <w:highlight w:val="none"/>
                <w:vertAlign w:val="subscript"/>
              </w:rPr>
              <w:t>D</w:t>
            </w:r>
            <w:r>
              <w:rPr>
                <w:rFonts w:hint="eastAsia" w:hAnsi="宋体"/>
                <w:szCs w:val="18"/>
                <w:highlight w:val="none"/>
              </w:rPr>
              <w:t xml:space="preserve">   ——日间重复性，以测定单位表示；</w:t>
            </w:r>
          </w:p>
          <w:p w14:paraId="6DF0FA17">
            <w:pPr>
              <w:pStyle w:val="24"/>
              <w:ind w:firstLine="268" w:firstLineChars="149"/>
              <w:jc w:val="left"/>
              <w:rPr>
                <w:rFonts w:hAnsi="宋体"/>
                <w:szCs w:val="18"/>
                <w:highlight w:val="none"/>
              </w:rPr>
            </w:pPr>
            <w:r>
              <w:rPr>
                <w:rFonts w:hint="eastAsia" w:hAnsi="宋体"/>
                <w:szCs w:val="18"/>
                <w:highlight w:val="none"/>
              </w:rPr>
              <w:t>（</w:t>
            </w:r>
            <w:r>
              <w:rPr>
                <w:rFonts w:hint="eastAsia" w:hAnsi="宋体"/>
                <w:i/>
                <w:iCs/>
                <w:szCs w:val="18"/>
                <w:highlight w:val="none"/>
              </w:rPr>
              <w:t>r</w:t>
            </w:r>
            <w:r>
              <w:rPr>
                <w:rFonts w:hint="eastAsia" w:hAnsi="宋体"/>
                <w:szCs w:val="18"/>
                <w:highlight w:val="none"/>
                <w:vertAlign w:val="subscript"/>
              </w:rPr>
              <w:t>D</w:t>
            </w:r>
            <w:r>
              <w:rPr>
                <w:rFonts w:hint="eastAsia" w:hAnsi="宋体"/>
                <w:szCs w:val="18"/>
                <w:highlight w:val="none"/>
              </w:rPr>
              <w:t>）——相对日间重复性，%；</w:t>
            </w:r>
          </w:p>
          <w:p w14:paraId="50B743BC">
            <w:pPr>
              <w:pStyle w:val="24"/>
              <w:ind w:firstLine="360" w:firstLineChars="200"/>
              <w:jc w:val="left"/>
              <w:rPr>
                <w:rFonts w:hAnsi="宋体"/>
                <w:szCs w:val="18"/>
                <w:highlight w:val="none"/>
              </w:rPr>
            </w:pPr>
            <w:r>
              <w:rPr>
                <w:rFonts w:hint="eastAsia" w:hAnsi="宋体"/>
                <w:i/>
                <w:iCs/>
                <w:szCs w:val="18"/>
                <w:highlight w:val="none"/>
              </w:rPr>
              <w:t>s</w:t>
            </w:r>
            <w:r>
              <w:rPr>
                <w:rFonts w:hint="eastAsia" w:hAnsi="宋体"/>
                <w:szCs w:val="18"/>
                <w:highlight w:val="none"/>
                <w:vertAlign w:val="subscript"/>
              </w:rPr>
              <w:t>R</w:t>
            </w:r>
            <w:r>
              <w:rPr>
                <w:rFonts w:hAnsi="宋体"/>
                <w:szCs w:val="18"/>
                <w:highlight w:val="none"/>
                <w:vertAlign w:val="subscript"/>
              </w:rPr>
              <w:t xml:space="preserve">      </w:t>
            </w:r>
            <w:r>
              <w:rPr>
                <w:rFonts w:hint="eastAsia" w:hAnsi="宋体"/>
                <w:szCs w:val="18"/>
                <w:highlight w:val="none"/>
              </w:rPr>
              <w:t>——再现性标准差；</w:t>
            </w:r>
          </w:p>
          <w:p w14:paraId="21AE550C">
            <w:pPr>
              <w:pStyle w:val="24"/>
              <w:ind w:firstLine="410" w:firstLineChars="228"/>
              <w:jc w:val="left"/>
              <w:rPr>
                <w:rFonts w:hAnsi="宋体"/>
                <w:szCs w:val="18"/>
                <w:highlight w:val="none"/>
              </w:rPr>
            </w:pPr>
            <w:r>
              <w:rPr>
                <w:rFonts w:hint="eastAsia" w:hAnsi="宋体"/>
                <w:i/>
                <w:iCs/>
                <w:szCs w:val="18"/>
                <w:highlight w:val="none"/>
              </w:rPr>
              <w:t xml:space="preserve">R   </w:t>
            </w:r>
            <w:r>
              <w:rPr>
                <w:rFonts w:hint="eastAsia" w:hAnsi="宋体"/>
                <w:szCs w:val="18"/>
                <w:highlight w:val="none"/>
              </w:rPr>
              <w:t>——再现性，以测定单位表示；</w:t>
            </w:r>
          </w:p>
          <w:p w14:paraId="3801675B">
            <w:pPr>
              <w:pStyle w:val="18"/>
              <w:ind w:firstLine="270" w:firstLineChars="150"/>
              <w:jc w:val="left"/>
              <w:rPr>
                <w:rFonts w:hAnsi="宋体"/>
                <w:i/>
                <w:iCs/>
                <w:sz w:val="18"/>
                <w:szCs w:val="18"/>
                <w:highlight w:val="none"/>
              </w:rPr>
            </w:pPr>
            <w:r>
              <w:rPr>
                <w:rFonts w:hint="eastAsia" w:hAnsi="宋体"/>
                <w:sz w:val="18"/>
                <w:szCs w:val="18"/>
                <w:highlight w:val="none"/>
              </w:rPr>
              <w:t>（</w:t>
            </w:r>
            <w:r>
              <w:rPr>
                <w:rFonts w:hint="eastAsia" w:hAnsi="宋体"/>
                <w:i/>
                <w:iCs/>
                <w:sz w:val="18"/>
                <w:szCs w:val="18"/>
                <w:highlight w:val="none"/>
              </w:rPr>
              <w:t>R</w:t>
            </w:r>
            <w:r>
              <w:rPr>
                <w:rFonts w:hint="eastAsia" w:hAnsi="宋体"/>
                <w:sz w:val="18"/>
                <w:szCs w:val="18"/>
                <w:highlight w:val="none"/>
              </w:rPr>
              <w:t>）——相对再现性%。</w:t>
            </w:r>
          </w:p>
        </w:tc>
      </w:tr>
      <w:tr w14:paraId="792C9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12"/>
            <w:tcBorders>
              <w:top w:val="single" w:color="000000" w:sz="4" w:space="0"/>
              <w:left w:val="single" w:color="000000" w:sz="4" w:space="0"/>
              <w:bottom w:val="single" w:color="000000" w:sz="4" w:space="0"/>
              <w:right w:val="single" w:color="000000" w:sz="4" w:space="0"/>
            </w:tcBorders>
            <w:vAlign w:val="center"/>
          </w:tcPr>
          <w:p w14:paraId="3AFF8F63">
            <w:pPr>
              <w:pStyle w:val="24"/>
              <w:spacing w:before="156" w:after="156"/>
              <w:ind w:firstLine="360" w:firstLineChars="200"/>
              <w:jc w:val="left"/>
              <w:rPr>
                <w:rFonts w:eastAsia="黑体"/>
                <w:kern w:val="21"/>
                <w:highlight w:val="none"/>
                <w:vertAlign w:val="superscript"/>
              </w:rPr>
            </w:pPr>
            <w:r>
              <w:rPr>
                <w:rFonts w:hint="eastAsia" w:hAnsi="宋体"/>
                <w:szCs w:val="18"/>
                <w:highlight w:val="none"/>
                <w:vertAlign w:val="superscript"/>
              </w:rPr>
              <w:t>a</w:t>
            </w:r>
            <w:r>
              <w:rPr>
                <w:rFonts w:hint="eastAsia" w:hAnsi="宋体"/>
                <w:szCs w:val="18"/>
                <w:highlight w:val="none"/>
              </w:rPr>
              <w:t xml:space="preserve">  剔除离群值后的实验室最终数量。</w:t>
            </w:r>
          </w:p>
        </w:tc>
      </w:tr>
      <w:bookmarkEnd w:id="48"/>
      <w:bookmarkEnd w:id="49"/>
      <w:bookmarkEnd w:id="50"/>
    </w:tbl>
    <w:p w14:paraId="12FFF9B5">
      <w:pPr>
        <w:tabs>
          <w:tab w:val="left" w:pos="6120"/>
        </w:tabs>
        <w:spacing w:line="360" w:lineRule="auto"/>
        <w:rPr>
          <w:rFonts w:eastAsia="黑体"/>
          <w:sz w:val="24"/>
          <w:highlight w:val="none"/>
        </w:rPr>
      </w:pPr>
      <w:r>
        <w:rPr>
          <w:rFonts w:hint="eastAsia" w:eastAsia="黑体"/>
          <w:sz w:val="24"/>
          <w:highlight w:val="none"/>
        </w:rPr>
        <w:t>3</w:t>
      </w:r>
      <w:r>
        <w:rPr>
          <w:rFonts w:eastAsia="黑体"/>
          <w:sz w:val="24"/>
          <w:highlight w:val="none"/>
        </w:rPr>
        <w:t>.2</w:t>
      </w:r>
      <w:r>
        <w:rPr>
          <w:rFonts w:hint="eastAsia" w:eastAsia="黑体"/>
          <w:sz w:val="24"/>
          <w:highlight w:val="none"/>
        </w:rPr>
        <w:t>技术经济论证和预期的经济效益、社会效益和生态效益</w:t>
      </w:r>
    </w:p>
    <w:p w14:paraId="346FA760">
      <w:pPr>
        <w:pStyle w:val="5"/>
        <w:spacing w:line="360" w:lineRule="auto"/>
        <w:ind w:left="0" w:leftChars="0" w:firstLine="480" w:firstLineChars="200"/>
        <w:rPr>
          <w:sz w:val="24"/>
          <w:highlight w:val="none"/>
        </w:rPr>
      </w:pPr>
      <w:r>
        <w:rPr>
          <w:color w:val="000000" w:themeColor="text1"/>
          <w:sz w:val="24"/>
          <w:highlight w:val="none"/>
          <w14:textFill>
            <w14:solidFill>
              <w14:schemeClr w14:val="tx1"/>
            </w14:solidFill>
          </w14:textFill>
        </w:rPr>
        <w:t>202</w:t>
      </w:r>
      <w:r>
        <w:rPr>
          <w:rFonts w:hint="eastAsia"/>
          <w:color w:val="000000" w:themeColor="text1"/>
          <w:sz w:val="24"/>
          <w:highlight w:val="none"/>
          <w14:textFill>
            <w14:solidFill>
              <w14:schemeClr w14:val="tx1"/>
            </w14:solidFill>
          </w14:textFill>
        </w:rPr>
        <w:t>4</w:t>
      </w:r>
      <w:r>
        <w:rPr>
          <w:color w:val="000000" w:themeColor="text1"/>
          <w:sz w:val="24"/>
          <w:highlight w:val="none"/>
          <w14:textFill>
            <w14:solidFill>
              <w14:schemeClr w14:val="tx1"/>
            </w14:solidFill>
          </w14:textFill>
        </w:rPr>
        <w:t>年，我国天然橡胶种植面积为16</w:t>
      </w:r>
      <w:r>
        <w:rPr>
          <w:rFonts w:hint="eastAsia"/>
          <w:color w:val="000000" w:themeColor="text1"/>
          <w:sz w:val="24"/>
          <w:highlight w:val="none"/>
          <w14:textFill>
            <w14:solidFill>
              <w14:schemeClr w14:val="tx1"/>
            </w14:solidFill>
          </w14:textFill>
        </w:rPr>
        <w:t>80</w:t>
      </w:r>
      <w:r>
        <w:rPr>
          <w:color w:val="000000" w:themeColor="text1"/>
          <w:sz w:val="24"/>
          <w:highlight w:val="none"/>
          <w14:textFill>
            <w14:solidFill>
              <w14:schemeClr w14:val="tx1"/>
            </w14:solidFill>
          </w14:textFill>
        </w:rPr>
        <w:t>万亩，天然橡胶产量</w:t>
      </w:r>
      <w:r>
        <w:rPr>
          <w:rFonts w:hint="eastAsia"/>
          <w:color w:val="000000" w:themeColor="text1"/>
          <w:sz w:val="24"/>
          <w:highlight w:val="none"/>
          <w14:textFill>
            <w14:solidFill>
              <w14:schemeClr w14:val="tx1"/>
            </w14:solidFill>
          </w14:textFill>
        </w:rPr>
        <w:t>约95</w:t>
      </w:r>
      <w:r>
        <w:rPr>
          <w:color w:val="000000" w:themeColor="text1"/>
          <w:sz w:val="24"/>
          <w:highlight w:val="none"/>
          <w14:textFill>
            <w14:solidFill>
              <w14:schemeClr w14:val="tx1"/>
            </w14:solidFill>
          </w14:textFill>
        </w:rPr>
        <w:t>万吨（居世界第5位）。同时，我国也是世界最大的天然橡胶消费国与进口国，进口量超过总消耗量的85%。</w:t>
      </w:r>
      <w:r>
        <w:rPr>
          <w:sz w:val="24"/>
          <w:highlight w:val="none"/>
        </w:rPr>
        <w:t>天然生胶作为天然橡胶初加工产品的主要形式，其产量在天然橡胶总产量中约占85%～90%，广泛应用于工业、农业、国防、交通、运输、机械制造等方面。天然橡胶中凝胶的形成对于下游橡胶制品的生产工艺和性能都有影响，被GB/T 8081《天然生胶 技术分级橡胶（TSR）规格导则》列为性能指标之一，因此，准确测定凝胶含量对于分析天然生胶的质量非常重要。为此，在修订本标准的过程中，对国内主要橡胶生产企业、科研单位和检测机构进行了调研，充分听取了绝大多数企业和机构的相关意见，标准技术上先进，经济上合理。通过本标准的修订，为凝胶含量的检测提供了更加可靠的依据，有助于提高国产天然橡胶的质量，促进国内天然橡胶产业的健康发展，具有显著的社会效益、经济效益和生态效益。</w:t>
      </w:r>
    </w:p>
    <w:p w14:paraId="5B07FA18">
      <w:pPr>
        <w:spacing w:line="360" w:lineRule="auto"/>
        <w:rPr>
          <w:rFonts w:eastAsia="黑体"/>
          <w:sz w:val="24"/>
          <w:highlight w:val="none"/>
        </w:rPr>
      </w:pPr>
      <w:r>
        <w:rPr>
          <w:rFonts w:eastAsia="黑体"/>
          <w:sz w:val="24"/>
          <w:highlight w:val="none"/>
        </w:rPr>
        <w:t>4</w:t>
      </w:r>
      <w:r>
        <w:rPr>
          <w:rFonts w:hint="eastAsia" w:eastAsia="黑体"/>
          <w:sz w:val="24"/>
          <w:highlight w:val="none"/>
        </w:rPr>
        <w:t>与国际、国外同类标准技术内容的对比情况，或者与测试的国外样品、样机的有关数据对比情况</w:t>
      </w:r>
    </w:p>
    <w:p w14:paraId="02835D1D">
      <w:pPr>
        <w:pStyle w:val="34"/>
        <w:spacing w:line="360" w:lineRule="auto"/>
        <w:ind w:firstLine="480"/>
        <w:rPr>
          <w:rFonts w:ascii="Times New Roman" w:eastAsiaTheme="minorEastAsia"/>
          <w:sz w:val="24"/>
          <w:szCs w:val="24"/>
          <w:highlight w:val="none"/>
        </w:rPr>
      </w:pPr>
      <w:r>
        <w:rPr>
          <w:rFonts w:ascii="Times New Roman" w:eastAsiaTheme="minorEastAsia"/>
          <w:sz w:val="24"/>
          <w:szCs w:val="24"/>
          <w:highlight w:val="none"/>
        </w:rPr>
        <w:t>本文件修改采用ISO 17278:2020《天然生胶 技术分级橡胶（TSR）凝胶含量的测定》。</w:t>
      </w:r>
    </w:p>
    <w:p w14:paraId="0497C38E">
      <w:pPr>
        <w:pStyle w:val="34"/>
        <w:spacing w:line="360" w:lineRule="auto"/>
        <w:ind w:firstLine="482"/>
        <w:rPr>
          <w:rFonts w:ascii="Times New Roman" w:eastAsiaTheme="minorEastAsia"/>
          <w:b/>
          <w:bCs/>
          <w:sz w:val="24"/>
          <w:szCs w:val="24"/>
          <w:highlight w:val="none"/>
        </w:rPr>
      </w:pPr>
      <w:r>
        <w:rPr>
          <w:rFonts w:ascii="Times New Roman" w:eastAsiaTheme="minorEastAsia"/>
          <w:b/>
          <w:bCs/>
          <w:sz w:val="24"/>
          <w:szCs w:val="24"/>
          <w:highlight w:val="none"/>
        </w:rPr>
        <w:t>本文件与ISO 17278:2020的技术差异及原因如下：</w:t>
      </w:r>
    </w:p>
    <w:p w14:paraId="4D35E3E5">
      <w:pPr>
        <w:pStyle w:val="29"/>
        <w:numPr>
          <w:ilvl w:val="0"/>
          <w:numId w:val="0"/>
        </w:numPr>
        <w:spacing w:line="360" w:lineRule="auto"/>
        <w:ind w:firstLine="480" w:firstLineChars="200"/>
        <w:rPr>
          <w:rFonts w:ascii="Times New Roman" w:eastAsiaTheme="minorEastAsia"/>
          <w:sz w:val="24"/>
          <w:szCs w:val="24"/>
          <w:highlight w:val="none"/>
        </w:rPr>
      </w:pPr>
      <w:r>
        <w:rPr>
          <w:rFonts w:ascii="Times New Roman" w:eastAsiaTheme="minorEastAsia"/>
          <w:sz w:val="24"/>
          <w:szCs w:val="24"/>
          <w:highlight w:val="none"/>
        </w:rPr>
        <w:t>（1）增加了文件适用界限，以</w:t>
      </w:r>
      <w:r>
        <w:rPr>
          <w:highlight w:val="none"/>
        </w:rPr>
        <w:t>适应</w:t>
      </w:r>
      <w:r>
        <w:rPr>
          <w:rFonts w:ascii="Times New Roman" w:eastAsiaTheme="minorEastAsia"/>
          <w:sz w:val="24"/>
          <w:szCs w:val="24"/>
          <w:highlight w:val="none"/>
        </w:rPr>
        <w:t>GB/T 1.1—2020的要求；</w:t>
      </w:r>
    </w:p>
    <w:p w14:paraId="2774B9B4">
      <w:pPr>
        <w:pStyle w:val="34"/>
        <w:spacing w:line="360" w:lineRule="auto"/>
        <w:ind w:firstLine="480"/>
        <w:rPr>
          <w:rFonts w:ascii="Times New Roman" w:eastAsiaTheme="minorEastAsia"/>
          <w:sz w:val="24"/>
          <w:szCs w:val="24"/>
          <w:highlight w:val="none"/>
        </w:rPr>
      </w:pPr>
      <w:r>
        <w:rPr>
          <w:rFonts w:ascii="Times New Roman" w:eastAsiaTheme="minorEastAsia"/>
          <w:sz w:val="24"/>
          <w:szCs w:val="24"/>
          <w:highlight w:val="none"/>
        </w:rPr>
        <w:t>（2）增加了关于具塞的三角烧瓶或试管的规定，以防止因长时间接触甲苯溶剂可能导致离心管溶胀、变形；</w:t>
      </w:r>
    </w:p>
    <w:p w14:paraId="440507B5">
      <w:pPr>
        <w:pStyle w:val="34"/>
        <w:spacing w:line="360" w:lineRule="auto"/>
        <w:ind w:firstLine="480"/>
        <w:rPr>
          <w:rFonts w:ascii="Times New Roman" w:eastAsiaTheme="minorEastAsia"/>
          <w:sz w:val="24"/>
          <w:szCs w:val="24"/>
          <w:highlight w:val="none"/>
        </w:rPr>
      </w:pPr>
      <w:r>
        <w:rPr>
          <w:rFonts w:ascii="Times New Roman" w:eastAsiaTheme="minorEastAsia"/>
          <w:sz w:val="24"/>
          <w:szCs w:val="24"/>
          <w:highlight w:val="none"/>
        </w:rPr>
        <w:t>（3）用规范性引用的GB/T 2941替换了ISO 23529，以适应我国对橡胶物理试验的试样制备要求；</w:t>
      </w:r>
    </w:p>
    <w:p w14:paraId="10057204">
      <w:pPr>
        <w:pStyle w:val="34"/>
        <w:spacing w:line="360" w:lineRule="auto"/>
        <w:ind w:firstLine="480"/>
        <w:rPr>
          <w:rFonts w:ascii="Times New Roman" w:eastAsiaTheme="minorEastAsia"/>
          <w:sz w:val="24"/>
          <w:szCs w:val="24"/>
          <w:highlight w:val="none"/>
        </w:rPr>
      </w:pPr>
      <w:r>
        <w:rPr>
          <w:rFonts w:ascii="Times New Roman" w:eastAsiaTheme="minorEastAsia"/>
          <w:sz w:val="24"/>
          <w:szCs w:val="24"/>
          <w:highlight w:val="none"/>
        </w:rPr>
        <w:t>（4）用规范性引用的GB/T 8081替换了ISO 2000，以适应我国对技术分级橡胶的规格要求；</w:t>
      </w:r>
    </w:p>
    <w:p w14:paraId="3BF3ACF7">
      <w:pPr>
        <w:pStyle w:val="34"/>
        <w:spacing w:line="360" w:lineRule="auto"/>
        <w:ind w:firstLine="480"/>
        <w:rPr>
          <w:rFonts w:ascii="Times New Roman" w:eastAsiaTheme="minorEastAsia"/>
          <w:sz w:val="24"/>
          <w:szCs w:val="24"/>
          <w:highlight w:val="none"/>
        </w:rPr>
      </w:pPr>
      <w:r>
        <w:rPr>
          <w:rFonts w:ascii="Times New Roman" w:eastAsiaTheme="minorEastAsia"/>
          <w:sz w:val="24"/>
          <w:szCs w:val="24"/>
          <w:highlight w:val="none"/>
        </w:rPr>
        <w:t>（5）增加了采用三角烧瓶或试管溶解样品的规定；</w:t>
      </w:r>
    </w:p>
    <w:p w14:paraId="0E3F4B56">
      <w:pPr>
        <w:pStyle w:val="34"/>
        <w:spacing w:line="360" w:lineRule="auto"/>
        <w:ind w:firstLine="480"/>
        <w:rPr>
          <w:rFonts w:ascii="Times New Roman" w:eastAsiaTheme="minorEastAsia"/>
          <w:sz w:val="24"/>
          <w:szCs w:val="24"/>
          <w:highlight w:val="none"/>
        </w:rPr>
      </w:pPr>
      <w:r>
        <w:rPr>
          <w:rFonts w:ascii="Times New Roman" w:eastAsiaTheme="minorEastAsia"/>
          <w:sz w:val="24"/>
          <w:szCs w:val="24"/>
          <w:highlight w:val="none"/>
        </w:rPr>
        <w:t>（6）更改了凝胶含量的计算公式，以符合GB/T 20001.4—2015的规定。</w:t>
      </w:r>
    </w:p>
    <w:p w14:paraId="1001865D">
      <w:pPr>
        <w:pStyle w:val="34"/>
        <w:spacing w:line="360" w:lineRule="auto"/>
        <w:ind w:left="420" w:leftChars="200" w:firstLine="482"/>
        <w:rPr>
          <w:rFonts w:ascii="Times New Roman" w:eastAsiaTheme="minorEastAsia"/>
          <w:b/>
          <w:bCs/>
          <w:sz w:val="24"/>
          <w:szCs w:val="24"/>
          <w:highlight w:val="none"/>
        </w:rPr>
      </w:pPr>
      <w:r>
        <w:rPr>
          <w:rFonts w:ascii="Times New Roman" w:eastAsiaTheme="minorEastAsia"/>
          <w:b/>
          <w:bCs/>
          <w:sz w:val="24"/>
          <w:szCs w:val="24"/>
          <w:highlight w:val="none"/>
        </w:rPr>
        <w:t>本文件做了下列编辑性改动：</w:t>
      </w:r>
    </w:p>
    <w:p w14:paraId="205E1348">
      <w:pPr>
        <w:pStyle w:val="34"/>
        <w:spacing w:line="360" w:lineRule="auto"/>
        <w:ind w:firstLine="480"/>
        <w:rPr>
          <w:rFonts w:ascii="Times New Roman" w:eastAsiaTheme="minorEastAsia"/>
          <w:sz w:val="24"/>
          <w:szCs w:val="24"/>
          <w:highlight w:val="none"/>
        </w:rPr>
      </w:pPr>
      <w:r>
        <w:rPr>
          <w:rFonts w:ascii="Times New Roman" w:eastAsiaTheme="minorEastAsia"/>
          <w:sz w:val="24"/>
          <w:szCs w:val="24"/>
          <w:highlight w:val="none"/>
        </w:rPr>
        <w:t>（1）增加了试剂的CAS号，以更好地满足GB/T 20001.4—2015的规定；</w:t>
      </w:r>
    </w:p>
    <w:p w14:paraId="575E200C">
      <w:pPr>
        <w:pStyle w:val="34"/>
        <w:spacing w:line="360" w:lineRule="auto"/>
        <w:ind w:firstLine="480"/>
        <w:rPr>
          <w:rFonts w:ascii="Times New Roman" w:eastAsiaTheme="minorEastAsia"/>
          <w:sz w:val="24"/>
          <w:szCs w:val="24"/>
          <w:highlight w:val="none"/>
        </w:rPr>
      </w:pPr>
      <w:r>
        <w:rPr>
          <w:rFonts w:ascii="Times New Roman" w:eastAsiaTheme="minorEastAsia"/>
          <w:sz w:val="24"/>
          <w:szCs w:val="24"/>
          <w:highlight w:val="none"/>
        </w:rPr>
        <w:t>（2）根据重新组织的实验室间试验结果，更改了精密度数据；</w:t>
      </w:r>
    </w:p>
    <w:p w14:paraId="67E87690">
      <w:pPr>
        <w:pStyle w:val="34"/>
        <w:spacing w:line="360" w:lineRule="auto"/>
        <w:ind w:firstLine="480"/>
        <w:rPr>
          <w:rFonts w:ascii="Times New Roman" w:eastAsiaTheme="minorEastAsia"/>
          <w:sz w:val="24"/>
          <w:szCs w:val="24"/>
          <w:highlight w:val="none"/>
        </w:rPr>
      </w:pPr>
      <w:r>
        <w:rPr>
          <w:rFonts w:ascii="Times New Roman" w:eastAsiaTheme="minorEastAsia"/>
          <w:sz w:val="24"/>
          <w:szCs w:val="24"/>
          <w:highlight w:val="none"/>
        </w:rPr>
        <w:t>（3）将ISO/TR 9272更改为ISO 19983:2024，因为ISO/TR 9272已被ISO 19983代替。</w:t>
      </w:r>
    </w:p>
    <w:p w14:paraId="63928A5B">
      <w:pPr>
        <w:tabs>
          <w:tab w:val="left" w:pos="6120"/>
        </w:tabs>
        <w:spacing w:line="360" w:lineRule="auto"/>
        <w:rPr>
          <w:rFonts w:eastAsia="黑体"/>
          <w:sz w:val="24"/>
          <w:highlight w:val="none"/>
        </w:rPr>
      </w:pPr>
      <w:r>
        <w:rPr>
          <w:rFonts w:hint="eastAsia" w:eastAsia="黑体"/>
          <w:sz w:val="24"/>
          <w:highlight w:val="none"/>
        </w:rPr>
        <w:t>5 以国际标准为基础的起草情况，以及是否合规引用或者采用国际国外标准，并说明未采用国际标准的原因</w:t>
      </w:r>
    </w:p>
    <w:p w14:paraId="5C78D069">
      <w:pPr>
        <w:tabs>
          <w:tab w:val="left" w:pos="6120"/>
        </w:tabs>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本标准拟修改采用ISO </w:t>
      </w:r>
      <w:r>
        <w:rPr>
          <w:rFonts w:eastAsiaTheme="minorEastAsia"/>
          <w:sz w:val="24"/>
          <w:highlight w:val="none"/>
        </w:rPr>
        <w:t>17278:2020</w:t>
      </w:r>
      <w:r>
        <w:rPr>
          <w:color w:val="000000" w:themeColor="text1"/>
          <w:sz w:val="24"/>
          <w:highlight w:val="none"/>
          <w14:textFill>
            <w14:solidFill>
              <w14:schemeClr w14:val="tx1"/>
            </w14:solidFill>
          </w14:textFill>
        </w:rPr>
        <w:t>对GB/T 37498—2019进行修订，</w:t>
      </w:r>
      <w:r>
        <w:rPr>
          <w:rFonts w:hint="eastAsia"/>
          <w:color w:val="000000" w:themeColor="text1"/>
          <w:sz w:val="24"/>
          <w:highlight w:val="none"/>
          <w14:textFill>
            <w14:solidFill>
              <w14:schemeClr w14:val="tx1"/>
            </w14:solidFill>
          </w14:textFill>
        </w:rPr>
        <w:t>增加</w:t>
      </w:r>
      <w:r>
        <w:rPr>
          <w:color w:val="000000" w:themeColor="text1"/>
          <w:sz w:val="24"/>
          <w:highlight w:val="none"/>
          <w14:textFill>
            <w14:solidFill>
              <w14:schemeClr w14:val="tx1"/>
            </w14:solidFill>
          </w14:textFill>
        </w:rPr>
        <w:t>试剂的</w:t>
      </w:r>
      <w:r>
        <w:rPr>
          <w:rFonts w:hint="eastAsia"/>
          <w:color w:val="000000" w:themeColor="text1"/>
          <w:sz w:val="24"/>
          <w:highlight w:val="none"/>
          <w14:textFill>
            <w14:solidFill>
              <w14:schemeClr w14:val="tx1"/>
            </w14:solidFill>
          </w14:textFill>
        </w:rPr>
        <w:t>CAS号</w:t>
      </w:r>
      <w:r>
        <w:rPr>
          <w:color w:val="000000" w:themeColor="text1"/>
          <w:sz w:val="24"/>
          <w:highlight w:val="none"/>
          <w14:textFill>
            <w14:solidFill>
              <w14:schemeClr w14:val="tx1"/>
            </w14:solidFill>
          </w14:textFill>
        </w:rPr>
        <w:t>和更改</w:t>
      </w:r>
      <w:r>
        <w:rPr>
          <w:rFonts w:hint="eastAsia"/>
          <w:color w:val="000000" w:themeColor="text1"/>
          <w:sz w:val="24"/>
          <w:highlight w:val="none"/>
          <w14:textFill>
            <w14:solidFill>
              <w14:schemeClr w14:val="tx1"/>
            </w14:solidFill>
          </w14:textFill>
        </w:rPr>
        <w:t>仪器</w:t>
      </w:r>
      <w:r>
        <w:rPr>
          <w:color w:val="000000" w:themeColor="text1"/>
          <w:sz w:val="24"/>
          <w:highlight w:val="none"/>
          <w14:textFill>
            <w14:solidFill>
              <w14:schemeClr w14:val="tx1"/>
            </w14:solidFill>
          </w14:textFill>
        </w:rPr>
        <w:t>要求，</w:t>
      </w:r>
      <w:r>
        <w:rPr>
          <w:rFonts w:hint="eastAsia"/>
          <w:color w:val="000000" w:themeColor="text1"/>
          <w:sz w:val="24"/>
          <w:highlight w:val="none"/>
          <w14:textFill>
            <w14:solidFill>
              <w14:schemeClr w14:val="tx1"/>
            </w14:solidFill>
          </w14:textFill>
        </w:rPr>
        <w:t>更改了</w:t>
      </w:r>
      <w:r>
        <w:rPr>
          <w:color w:val="000000" w:themeColor="text1"/>
          <w:sz w:val="24"/>
          <w:highlight w:val="none"/>
          <w14:textFill>
            <w14:solidFill>
              <w14:schemeClr w14:val="tx1"/>
            </w14:solidFill>
          </w14:textFill>
        </w:rPr>
        <w:t xml:space="preserve">试验结果精密度数据，在结构与技术内容上基本与ISO </w:t>
      </w:r>
      <w:r>
        <w:rPr>
          <w:rFonts w:eastAsiaTheme="minorEastAsia"/>
          <w:sz w:val="24"/>
          <w:highlight w:val="none"/>
        </w:rPr>
        <w:t>17278:2020</w:t>
      </w:r>
      <w:r>
        <w:rPr>
          <w:color w:val="000000" w:themeColor="text1"/>
          <w:sz w:val="24"/>
          <w:highlight w:val="none"/>
          <w14:textFill>
            <w14:solidFill>
              <w14:schemeClr w14:val="tx1"/>
            </w14:solidFill>
          </w14:textFill>
        </w:rPr>
        <w:t>保持一致，属于合规采用国际标准。</w:t>
      </w:r>
    </w:p>
    <w:p w14:paraId="575174BA">
      <w:pPr>
        <w:spacing w:line="360" w:lineRule="auto"/>
        <w:rPr>
          <w:rFonts w:eastAsia="黑体"/>
          <w:sz w:val="24"/>
          <w:highlight w:val="none"/>
        </w:rPr>
      </w:pPr>
      <w:r>
        <w:rPr>
          <w:rFonts w:eastAsia="黑体"/>
          <w:sz w:val="24"/>
          <w:highlight w:val="none"/>
        </w:rPr>
        <w:t>6</w:t>
      </w:r>
      <w:r>
        <w:rPr>
          <w:rFonts w:hint="eastAsia" w:eastAsia="黑体"/>
          <w:sz w:val="24"/>
          <w:highlight w:val="none"/>
        </w:rPr>
        <w:t>与有关法律、行政法规及相关标准的关系</w:t>
      </w:r>
    </w:p>
    <w:p w14:paraId="3FD14568">
      <w:pPr>
        <w:tabs>
          <w:tab w:val="left" w:pos="6120"/>
        </w:tabs>
        <w:spacing w:line="360" w:lineRule="auto"/>
        <w:ind w:firstLine="480" w:firstLineChars="20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本标准与有关现行法律、行政法规和相关标准相协调，无冲突。</w:t>
      </w:r>
    </w:p>
    <w:p w14:paraId="5BDE60CD">
      <w:pPr>
        <w:spacing w:line="360" w:lineRule="auto"/>
        <w:rPr>
          <w:rFonts w:eastAsia="黑体"/>
          <w:sz w:val="24"/>
          <w:highlight w:val="none"/>
        </w:rPr>
      </w:pPr>
      <w:r>
        <w:rPr>
          <w:rFonts w:hint="eastAsia" w:eastAsia="黑体"/>
          <w:sz w:val="24"/>
          <w:highlight w:val="none"/>
        </w:rPr>
        <w:t>7重大分歧意见的处理经过和依据</w:t>
      </w:r>
    </w:p>
    <w:p w14:paraId="2E3271C2">
      <w:pPr>
        <w:tabs>
          <w:tab w:val="left" w:pos="6120"/>
        </w:tabs>
        <w:spacing w:line="360" w:lineRule="auto"/>
        <w:ind w:firstLine="480" w:firstLineChars="20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本标准在修订过程中尚未出现重大意见分歧。</w:t>
      </w:r>
    </w:p>
    <w:p w14:paraId="59BB479D">
      <w:pPr>
        <w:spacing w:line="360" w:lineRule="auto"/>
        <w:rPr>
          <w:rFonts w:eastAsia="黑体"/>
          <w:sz w:val="24"/>
          <w:highlight w:val="none"/>
        </w:rPr>
      </w:pPr>
      <w:r>
        <w:rPr>
          <w:rFonts w:hint="eastAsia" w:eastAsia="黑体"/>
          <w:sz w:val="24"/>
          <w:highlight w:val="none"/>
        </w:rPr>
        <w:t>8涉及专利的有关说明</w:t>
      </w:r>
    </w:p>
    <w:p w14:paraId="160C04DF">
      <w:pPr>
        <w:tabs>
          <w:tab w:val="left" w:pos="6120"/>
        </w:tabs>
        <w:spacing w:line="360" w:lineRule="auto"/>
        <w:ind w:firstLine="480" w:firstLineChars="20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本标准的内容未涉及专利。</w:t>
      </w:r>
    </w:p>
    <w:p w14:paraId="5CD0E3C7">
      <w:pPr>
        <w:spacing w:line="360" w:lineRule="auto"/>
        <w:rPr>
          <w:rFonts w:eastAsia="黑体"/>
          <w:sz w:val="24"/>
          <w:highlight w:val="none"/>
        </w:rPr>
      </w:pPr>
      <w:r>
        <w:rPr>
          <w:rFonts w:hint="eastAsia" w:eastAsia="黑体"/>
          <w:sz w:val="24"/>
          <w:highlight w:val="none"/>
        </w:rPr>
        <w:t>9实施标准的要求，以及组织实施、技术措施、过渡期和实施日期的建议等措施建议</w:t>
      </w:r>
    </w:p>
    <w:p w14:paraId="794F1771">
      <w:pPr>
        <w:spacing w:line="360" w:lineRule="auto"/>
        <w:rPr>
          <w:rFonts w:eastAsia="黑体"/>
          <w:sz w:val="24"/>
          <w:highlight w:val="none"/>
        </w:rPr>
      </w:pPr>
      <w:r>
        <w:rPr>
          <w:rFonts w:hint="eastAsia" w:eastAsia="黑体"/>
          <w:sz w:val="24"/>
          <w:highlight w:val="none"/>
        </w:rPr>
        <w:t>9.1本标准宣贯时应包括下列内容：</w:t>
      </w:r>
    </w:p>
    <w:p w14:paraId="4E8945B4">
      <w:pPr>
        <w:tabs>
          <w:tab w:val="left" w:pos="6120"/>
        </w:tabs>
        <w:spacing w:line="360" w:lineRule="auto"/>
        <w:ind w:left="48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（1）介绍本标准修订的原因、过程及意义；</w:t>
      </w:r>
    </w:p>
    <w:p w14:paraId="50D287EB">
      <w:pPr>
        <w:tabs>
          <w:tab w:val="left" w:pos="6120"/>
        </w:tabs>
        <w:spacing w:line="360" w:lineRule="auto"/>
        <w:ind w:left="48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（2）介绍和解释本标准的主要技术内容；</w:t>
      </w:r>
    </w:p>
    <w:p w14:paraId="12F10C59">
      <w:pPr>
        <w:tabs>
          <w:tab w:val="left" w:pos="6120"/>
        </w:tabs>
        <w:spacing w:line="360" w:lineRule="auto"/>
        <w:ind w:left="48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（3）本标准实施过程中可能遇到的问题及解决办法。</w:t>
      </w:r>
    </w:p>
    <w:p w14:paraId="462D7924">
      <w:pPr>
        <w:spacing w:line="360" w:lineRule="auto"/>
        <w:rPr>
          <w:rFonts w:eastAsia="黑体"/>
          <w:sz w:val="24"/>
          <w:highlight w:val="none"/>
        </w:rPr>
      </w:pPr>
      <w:r>
        <w:rPr>
          <w:rFonts w:hint="eastAsia" w:eastAsia="黑体"/>
          <w:sz w:val="24"/>
          <w:highlight w:val="none"/>
        </w:rPr>
        <w:t>9.2本标准宣贯时建议采用下列形式：</w:t>
      </w:r>
    </w:p>
    <w:p w14:paraId="198A99C5">
      <w:pPr>
        <w:tabs>
          <w:tab w:val="left" w:pos="6120"/>
        </w:tabs>
        <w:spacing w:line="360" w:lineRule="auto"/>
        <w:ind w:firstLine="480" w:firstLineChars="20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（1）举办有关生产使用企业和检验机构的有关人员参加的标准宣贯培训班；</w:t>
      </w:r>
    </w:p>
    <w:p w14:paraId="1AB3B12F">
      <w:pPr>
        <w:tabs>
          <w:tab w:val="left" w:pos="6120"/>
        </w:tabs>
        <w:spacing w:line="360" w:lineRule="auto"/>
        <w:ind w:firstLine="480" w:firstLineChars="20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（2）由本标准起草人员到有关企业和检验机构，对相关人员进行现场宣讲、示范操作。</w:t>
      </w:r>
    </w:p>
    <w:p w14:paraId="5E5BD930">
      <w:pPr>
        <w:spacing w:line="360" w:lineRule="auto"/>
        <w:rPr>
          <w:rFonts w:eastAsia="黑体"/>
          <w:sz w:val="24"/>
          <w:highlight w:val="none"/>
        </w:rPr>
      </w:pPr>
      <w:r>
        <w:rPr>
          <w:rFonts w:hint="eastAsia" w:eastAsia="黑体"/>
          <w:sz w:val="24"/>
          <w:highlight w:val="none"/>
        </w:rPr>
        <w:t>9.3 本标准建议的实施日期：</w:t>
      </w:r>
    </w:p>
    <w:p w14:paraId="3162B2E5">
      <w:pPr>
        <w:tabs>
          <w:tab w:val="left" w:pos="6120"/>
        </w:tabs>
        <w:spacing w:line="360" w:lineRule="auto"/>
        <w:ind w:firstLine="480" w:firstLineChars="20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本标准自发布之日起半年后实施，同时废止</w:t>
      </w:r>
      <w:r>
        <w:rPr>
          <w:color w:val="000000" w:themeColor="text1"/>
          <w:sz w:val="24"/>
          <w:highlight w:val="none"/>
          <w14:textFill>
            <w14:solidFill>
              <w14:schemeClr w14:val="tx1"/>
            </w14:solidFill>
          </w14:textFill>
        </w:rPr>
        <w:t>GB/T 37498—2019</w:t>
      </w:r>
      <w:r>
        <w:rPr>
          <w:rFonts w:hint="eastAsia" w:hAnsi="宋体"/>
          <w:color w:val="000000" w:themeColor="text1"/>
          <w:sz w:val="24"/>
          <w:highlight w:val="none"/>
          <w14:textFill>
            <w14:solidFill>
              <w14:schemeClr w14:val="tx1"/>
            </w14:solidFill>
          </w14:textFill>
        </w:rPr>
        <w:t>。</w:t>
      </w:r>
    </w:p>
    <w:p w14:paraId="4CB3120F">
      <w:pPr>
        <w:spacing w:line="360" w:lineRule="auto"/>
        <w:rPr>
          <w:rFonts w:eastAsia="黑体"/>
          <w:sz w:val="24"/>
          <w:highlight w:val="none"/>
        </w:rPr>
      </w:pPr>
      <w:r>
        <w:rPr>
          <w:rFonts w:hint="eastAsia" w:eastAsia="黑体"/>
          <w:sz w:val="24"/>
          <w:highlight w:val="none"/>
        </w:rPr>
        <w:t>1</w:t>
      </w:r>
      <w:r>
        <w:rPr>
          <w:rFonts w:eastAsia="黑体"/>
          <w:sz w:val="24"/>
          <w:highlight w:val="none"/>
        </w:rPr>
        <w:t xml:space="preserve">0 </w:t>
      </w:r>
      <w:r>
        <w:rPr>
          <w:rFonts w:hint="eastAsia" w:eastAsia="黑体"/>
          <w:sz w:val="24"/>
          <w:highlight w:val="none"/>
        </w:rPr>
        <w:t>涉及公平竞争审查的有关说明</w:t>
      </w:r>
    </w:p>
    <w:p w14:paraId="72F17B20">
      <w:pPr>
        <w:tabs>
          <w:tab w:val="left" w:pos="6120"/>
        </w:tabs>
        <w:spacing w:line="360" w:lineRule="auto"/>
        <w:ind w:firstLine="480" w:firstLineChars="20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按照《国家标准化管理委员会关于国家标准起草中开展公平竞争审查的通知》（国标委发〔2025〕18号）文件要求，对本文件是否限制或者变相限制市场准入和退出、是否限制商品要素自由流动、是否影响生产经营成本、是否影响生产经营行为、是否使用《公平竞争审查条例》第十二条规定进行审查。本标准符合公平竞争要求。</w:t>
      </w:r>
    </w:p>
    <w:p w14:paraId="01A4DEB5">
      <w:pPr>
        <w:spacing w:line="360" w:lineRule="auto"/>
        <w:rPr>
          <w:rFonts w:eastAsia="黑体"/>
          <w:sz w:val="24"/>
          <w:highlight w:val="none"/>
        </w:rPr>
      </w:pPr>
      <w:r>
        <w:rPr>
          <w:rFonts w:hint="eastAsia" w:eastAsia="黑体"/>
          <w:sz w:val="24"/>
          <w:highlight w:val="none"/>
        </w:rPr>
        <w:t>11其它应予说明的事项</w:t>
      </w:r>
    </w:p>
    <w:p w14:paraId="7F1A93DD">
      <w:pPr>
        <w:tabs>
          <w:tab w:val="left" w:pos="6120"/>
        </w:tabs>
        <w:spacing w:line="360" w:lineRule="auto"/>
        <w:ind w:firstLine="480" w:firstLineChars="200"/>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无。</w:t>
      </w:r>
    </w:p>
    <w:sectPr>
      <w:headerReference r:id="rId4" w:type="default"/>
      <w:footerReference r:id="rId5" w:type="default"/>
      <w:footerReference r:id="rId6" w:type="even"/>
      <w:pgSz w:w="11906" w:h="16838"/>
      <w:pgMar w:top="1361" w:right="1418" w:bottom="1361" w:left="1418"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font>
  <w:font w:name="汉仪粗圆简">
    <w:panose1 w:val="02010600000101010101"/>
    <w:charset w:val="86"/>
    <w:family w:val="auto"/>
    <w:pitch w:val="default"/>
    <w:sig w:usb0="00000001" w:usb1="080E0800" w:usb2="00000002" w:usb3="00000000" w:csb0="00040000"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0197770"/>
    </w:sdtPr>
    <w:sdtContent>
      <w:p w14:paraId="00AFB285">
        <w:pPr>
          <w:pStyle w:val="8"/>
          <w:jc w:val="center"/>
        </w:pPr>
        <w:r>
          <w:fldChar w:fldCharType="begin"/>
        </w:r>
        <w:r>
          <w:instrText xml:space="preserve">PAGE   \* MERGEFORMAT</w:instrText>
        </w:r>
        <w:r>
          <w:fldChar w:fldCharType="separate"/>
        </w:r>
        <w:r>
          <w:rPr>
            <w:lang w:val="zh-CN"/>
          </w:rPr>
          <w:t>1</w:t>
        </w:r>
        <w:r>
          <w:rPr>
            <w:lang w:val="zh-CN"/>
          </w:rPr>
          <w:fldChar w:fldCharType="end"/>
        </w:r>
      </w:p>
    </w:sdtContent>
  </w:sdt>
  <w:p w14:paraId="0562CBA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CE722">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separate"/>
    </w:r>
    <w:r>
      <w:rPr>
        <w:rStyle w:val="15"/>
      </w:rPr>
      <w:t>3</w:t>
    </w:r>
    <w:r>
      <w:rPr>
        <w:rStyle w:val="15"/>
      </w:rPr>
      <w:fldChar w:fldCharType="end"/>
    </w:r>
  </w:p>
  <w:p w14:paraId="252BA3B2">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DA175">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14:paraId="5C0CD94C">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21592">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917C3"/>
    <w:multiLevelType w:val="multilevel"/>
    <w:tmpl w:val="2C5917C3"/>
    <w:lvl w:ilvl="0" w:tentative="0">
      <w:start w:val="1"/>
      <w:numFmt w:val="none"/>
      <w:pStyle w:val="29"/>
      <w:lvlText w:val="%1——"/>
      <w:lvlJc w:val="left"/>
      <w:pPr>
        <w:tabs>
          <w:tab w:val="left" w:pos="994"/>
        </w:tabs>
        <w:ind w:left="994" w:hanging="426"/>
      </w:pPr>
      <w:rPr>
        <w:rFonts w:hint="eastAsia" w:ascii="宋体" w:hAnsi="Times New Roman" w:eastAsia="宋体"/>
        <w:b w:val="0"/>
        <w:i w:val="0"/>
        <w:sz w:val="21"/>
        <w:lang w:val="en-US"/>
      </w:rPr>
    </w:lvl>
    <w:lvl w:ilvl="1" w:tentative="0">
      <w:start w:val="1"/>
      <w:numFmt w:val="none"/>
      <w:pStyle w:val="31"/>
      <w:lvlText w:val=""/>
      <w:lvlJc w:val="left"/>
      <w:pPr>
        <w:ind w:left="994" w:hanging="431"/>
      </w:pPr>
      <w:rPr>
        <w:rFonts w:hint="default" w:ascii="Symbol" w:hAnsi="Symbol"/>
        <w:sz w:val="21"/>
      </w:rPr>
    </w:lvl>
    <w:lvl w:ilvl="2" w:tentative="0">
      <w:start w:val="1"/>
      <w:numFmt w:val="bullet"/>
      <w:pStyle w:val="30"/>
      <w:lvlText w:val=""/>
      <w:lvlJc w:val="left"/>
      <w:pPr>
        <w:ind w:left="994" w:hanging="426"/>
      </w:pPr>
      <w:rPr>
        <w:rFonts w:hint="default" w:ascii="Wingdings" w:hAnsi="Wingdings"/>
        <w:sz w:val="21"/>
      </w:rPr>
    </w:lvl>
    <w:lvl w:ilvl="3" w:tentative="0">
      <w:start w:val="1"/>
      <w:numFmt w:val="decimal"/>
      <w:lvlText w:val="%4."/>
      <w:lvlJc w:val="left"/>
      <w:pPr>
        <w:tabs>
          <w:tab w:val="left" w:pos="2214"/>
        </w:tabs>
        <w:ind w:left="2027" w:hanging="528"/>
      </w:pPr>
      <w:rPr>
        <w:rFonts w:hint="eastAsia"/>
      </w:rPr>
    </w:lvl>
    <w:lvl w:ilvl="4" w:tentative="0">
      <w:start w:val="1"/>
      <w:numFmt w:val="lowerLetter"/>
      <w:lvlText w:val="%5)"/>
      <w:lvlJc w:val="left"/>
      <w:pPr>
        <w:tabs>
          <w:tab w:val="left" w:pos="2526"/>
        </w:tabs>
        <w:ind w:left="2339" w:hanging="528"/>
      </w:pPr>
      <w:rPr>
        <w:rFonts w:hint="eastAsia"/>
      </w:rPr>
    </w:lvl>
    <w:lvl w:ilvl="5" w:tentative="0">
      <w:start w:val="1"/>
      <w:numFmt w:val="lowerRoman"/>
      <w:lvlText w:val="%6."/>
      <w:lvlJc w:val="right"/>
      <w:pPr>
        <w:tabs>
          <w:tab w:val="left" w:pos="2838"/>
        </w:tabs>
        <w:ind w:left="2651" w:hanging="528"/>
      </w:pPr>
      <w:rPr>
        <w:rFonts w:hint="eastAsia"/>
      </w:rPr>
    </w:lvl>
    <w:lvl w:ilvl="6" w:tentative="0">
      <w:start w:val="1"/>
      <w:numFmt w:val="decimal"/>
      <w:lvlText w:val="%7."/>
      <w:lvlJc w:val="left"/>
      <w:pPr>
        <w:tabs>
          <w:tab w:val="left" w:pos="3150"/>
        </w:tabs>
        <w:ind w:left="2963" w:hanging="528"/>
      </w:pPr>
      <w:rPr>
        <w:rFonts w:hint="eastAsia"/>
      </w:rPr>
    </w:lvl>
    <w:lvl w:ilvl="7" w:tentative="0">
      <w:start w:val="1"/>
      <w:numFmt w:val="lowerLetter"/>
      <w:lvlText w:val="%8)"/>
      <w:lvlJc w:val="left"/>
      <w:pPr>
        <w:tabs>
          <w:tab w:val="left" w:pos="3462"/>
        </w:tabs>
        <w:ind w:left="3275" w:hanging="528"/>
      </w:pPr>
      <w:rPr>
        <w:rFonts w:hint="eastAsia"/>
      </w:rPr>
    </w:lvl>
    <w:lvl w:ilvl="8" w:tentative="0">
      <w:start w:val="1"/>
      <w:numFmt w:val="lowerRoman"/>
      <w:lvlText w:val="%9."/>
      <w:lvlJc w:val="right"/>
      <w:pPr>
        <w:tabs>
          <w:tab w:val="left" w:pos="3774"/>
        </w:tabs>
        <w:ind w:left="3587" w:hanging="528"/>
      </w:pPr>
      <w:rPr>
        <w:rFonts w:hint="eastAsia"/>
      </w:rPr>
    </w:lvl>
  </w:abstractNum>
  <w:abstractNum w:abstractNumId="1">
    <w:nsid w:val="3B89324E"/>
    <w:multiLevelType w:val="multilevel"/>
    <w:tmpl w:val="3B89324E"/>
    <w:lvl w:ilvl="0" w:tentative="0">
      <w:start w:val="2"/>
      <w:numFmt w:val="decimal"/>
      <w:lvlText w:val="%1"/>
      <w:lvlJc w:val="left"/>
      <w:pPr>
        <w:tabs>
          <w:tab w:val="left" w:pos="360"/>
        </w:tabs>
        <w:ind w:left="360" w:hanging="360"/>
      </w:pPr>
      <w:rPr>
        <w:rFonts w:hint="default"/>
      </w:rPr>
    </w:lvl>
    <w:lvl w:ilvl="1" w:tentative="0">
      <w:start w:val="2"/>
      <w:numFmt w:val="decimal"/>
      <w:isLgl/>
      <w:lvlText w:val="%1.%2"/>
      <w:lvlJc w:val="left"/>
      <w:pPr>
        <w:tabs>
          <w:tab w:val="left" w:pos="600"/>
        </w:tabs>
        <w:ind w:left="600" w:hanging="600"/>
      </w:pPr>
      <w:rPr>
        <w:rFonts w:hint="default" w:hAnsi="Times New Roman"/>
      </w:rPr>
    </w:lvl>
    <w:lvl w:ilvl="2" w:tentative="0">
      <w:start w:val="1"/>
      <w:numFmt w:val="decimal"/>
      <w:isLgl/>
      <w:lvlText w:val="%1.%2.%3"/>
      <w:lvlJc w:val="left"/>
      <w:pPr>
        <w:tabs>
          <w:tab w:val="left" w:pos="720"/>
        </w:tabs>
        <w:ind w:left="720" w:hanging="720"/>
      </w:pPr>
      <w:rPr>
        <w:rFonts w:hint="default" w:hAnsi="Times New Roman"/>
      </w:rPr>
    </w:lvl>
    <w:lvl w:ilvl="3" w:tentative="0">
      <w:start w:val="1"/>
      <w:numFmt w:val="decimal"/>
      <w:isLgl/>
      <w:lvlText w:val="%1.%2.%3.%4"/>
      <w:lvlJc w:val="left"/>
      <w:pPr>
        <w:tabs>
          <w:tab w:val="left" w:pos="1080"/>
        </w:tabs>
        <w:ind w:left="1080" w:hanging="1080"/>
      </w:pPr>
      <w:rPr>
        <w:rFonts w:hint="default" w:hAnsi="Times New Roman"/>
      </w:rPr>
    </w:lvl>
    <w:lvl w:ilvl="4" w:tentative="0">
      <w:start w:val="1"/>
      <w:numFmt w:val="decimal"/>
      <w:isLgl/>
      <w:lvlText w:val="%1.%2.%3.%4.%5"/>
      <w:lvlJc w:val="left"/>
      <w:pPr>
        <w:tabs>
          <w:tab w:val="left" w:pos="1080"/>
        </w:tabs>
        <w:ind w:left="1080" w:hanging="1080"/>
      </w:pPr>
      <w:rPr>
        <w:rFonts w:hint="default" w:hAnsi="Times New Roman"/>
      </w:rPr>
    </w:lvl>
    <w:lvl w:ilvl="5" w:tentative="0">
      <w:start w:val="1"/>
      <w:numFmt w:val="decimal"/>
      <w:isLgl/>
      <w:lvlText w:val="%1.%2.%3.%4.%5.%6"/>
      <w:lvlJc w:val="left"/>
      <w:pPr>
        <w:tabs>
          <w:tab w:val="left" w:pos="1440"/>
        </w:tabs>
        <w:ind w:left="1440" w:hanging="1440"/>
      </w:pPr>
      <w:rPr>
        <w:rFonts w:hint="default" w:hAnsi="Times New Roman"/>
      </w:rPr>
    </w:lvl>
    <w:lvl w:ilvl="6" w:tentative="0">
      <w:start w:val="1"/>
      <w:numFmt w:val="decimal"/>
      <w:isLgl/>
      <w:lvlText w:val="%1.%2.%3.%4.%5.%6.%7"/>
      <w:lvlJc w:val="left"/>
      <w:pPr>
        <w:tabs>
          <w:tab w:val="left" w:pos="1800"/>
        </w:tabs>
        <w:ind w:left="1800" w:hanging="1800"/>
      </w:pPr>
      <w:rPr>
        <w:rFonts w:hint="default" w:hAnsi="Times New Roman"/>
      </w:rPr>
    </w:lvl>
    <w:lvl w:ilvl="7" w:tentative="0">
      <w:start w:val="1"/>
      <w:numFmt w:val="decimal"/>
      <w:isLgl/>
      <w:lvlText w:val="%1.%2.%3.%4.%5.%6.%7.%8"/>
      <w:lvlJc w:val="left"/>
      <w:pPr>
        <w:tabs>
          <w:tab w:val="left" w:pos="1800"/>
        </w:tabs>
        <w:ind w:left="1800" w:hanging="1800"/>
      </w:pPr>
      <w:rPr>
        <w:rFonts w:hint="default" w:hAnsi="Times New Roman"/>
      </w:rPr>
    </w:lvl>
    <w:lvl w:ilvl="8" w:tentative="0">
      <w:start w:val="1"/>
      <w:numFmt w:val="decimal"/>
      <w:isLgl/>
      <w:lvlText w:val="%1.%2.%3.%4.%5.%6.%7.%8.%9"/>
      <w:lvlJc w:val="left"/>
      <w:pPr>
        <w:tabs>
          <w:tab w:val="left" w:pos="2160"/>
        </w:tabs>
        <w:ind w:left="2160" w:hanging="2160"/>
      </w:pPr>
      <w:rPr>
        <w:rFonts w:hint="default" w:hAnsi="Times New Roman"/>
      </w:rPr>
    </w:lvl>
  </w:abstractNum>
  <w:abstractNum w:abstractNumId="2">
    <w:nsid w:val="44C50F90"/>
    <w:multiLevelType w:val="multilevel"/>
    <w:tmpl w:val="44C50F90"/>
    <w:lvl w:ilvl="0" w:tentative="0">
      <w:start w:val="1"/>
      <w:numFmt w:val="lowerLetter"/>
      <w:pStyle w:val="38"/>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0B55DC2"/>
    <w:multiLevelType w:val="multilevel"/>
    <w:tmpl w:val="60B55DC2"/>
    <w:lvl w:ilvl="0" w:tentative="0">
      <w:start w:val="1"/>
      <w:numFmt w:val="upperLetter"/>
      <w:pStyle w:val="36"/>
      <w:lvlText w:val="%1"/>
      <w:lvlJc w:val="left"/>
      <w:pPr>
        <w:tabs>
          <w:tab w:val="left" w:pos="0"/>
        </w:tabs>
        <w:ind w:left="0" w:hanging="425"/>
      </w:pPr>
      <w:rPr>
        <w:rFonts w:hint="eastAsia"/>
      </w:rPr>
    </w:lvl>
    <w:lvl w:ilvl="1" w:tentative="0">
      <w:start w:val="1"/>
      <w:numFmt w:val="decimal"/>
      <w:pStyle w:val="37"/>
      <w:suff w:val="nothing"/>
      <w:lvlText w:val="表%1.%2　"/>
      <w:lvlJc w:val="left"/>
      <w:pPr>
        <w:ind w:left="567" w:hanging="567"/>
      </w:pPr>
      <w:rPr>
        <w:rFonts w:hint="eastAsia"/>
        <w:lang w:val="en-US"/>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
    <w:nsid w:val="6DBF04F4"/>
    <w:multiLevelType w:val="multilevel"/>
    <w:tmpl w:val="6DBF04F4"/>
    <w:lvl w:ilvl="0" w:tentative="0">
      <w:start w:val="1"/>
      <w:numFmt w:val="none"/>
      <w:pStyle w:val="40"/>
      <w:lvlText w:val="%1注："/>
      <w:lvlJc w:val="left"/>
      <w:pPr>
        <w:ind w:left="737" w:hanging="374"/>
      </w:pPr>
      <w:rPr>
        <w:rFonts w:hint="eastAsia" w:ascii="黑体" w:eastAsia="黑体"/>
        <w:b w:val="0"/>
        <w:i w:val="0"/>
        <w:sz w:val="18"/>
        <w:vertAlign w:val="baseline"/>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MTgxNmE2ZDFiZjVjODA2ODZiNWVlYWY1ZTIzM2EifQ=="/>
  </w:docVars>
  <w:rsids>
    <w:rsidRoot w:val="006D0A27"/>
    <w:rsid w:val="00000185"/>
    <w:rsid w:val="00002CEC"/>
    <w:rsid w:val="00003690"/>
    <w:rsid w:val="00003BE1"/>
    <w:rsid w:val="00004427"/>
    <w:rsid w:val="00004E75"/>
    <w:rsid w:val="000054FA"/>
    <w:rsid w:val="000056DD"/>
    <w:rsid w:val="000061D5"/>
    <w:rsid w:val="00006AAA"/>
    <w:rsid w:val="00011238"/>
    <w:rsid w:val="00014CFE"/>
    <w:rsid w:val="00014E2A"/>
    <w:rsid w:val="0001688D"/>
    <w:rsid w:val="000201BA"/>
    <w:rsid w:val="0002296C"/>
    <w:rsid w:val="000253BD"/>
    <w:rsid w:val="000275CD"/>
    <w:rsid w:val="00027CCC"/>
    <w:rsid w:val="0003093D"/>
    <w:rsid w:val="00032F10"/>
    <w:rsid w:val="00034332"/>
    <w:rsid w:val="00036087"/>
    <w:rsid w:val="00037C30"/>
    <w:rsid w:val="00040156"/>
    <w:rsid w:val="000413D0"/>
    <w:rsid w:val="00044A1C"/>
    <w:rsid w:val="00045A6D"/>
    <w:rsid w:val="0004641B"/>
    <w:rsid w:val="00046621"/>
    <w:rsid w:val="00046CAE"/>
    <w:rsid w:val="00046DEB"/>
    <w:rsid w:val="0005141A"/>
    <w:rsid w:val="00054EA1"/>
    <w:rsid w:val="00055CCD"/>
    <w:rsid w:val="00056C53"/>
    <w:rsid w:val="000573EA"/>
    <w:rsid w:val="00057D11"/>
    <w:rsid w:val="00060012"/>
    <w:rsid w:val="00060525"/>
    <w:rsid w:val="00060884"/>
    <w:rsid w:val="0006120B"/>
    <w:rsid w:val="00061EE9"/>
    <w:rsid w:val="000623F2"/>
    <w:rsid w:val="0006331D"/>
    <w:rsid w:val="0006395C"/>
    <w:rsid w:val="000661BF"/>
    <w:rsid w:val="00067EED"/>
    <w:rsid w:val="000717BA"/>
    <w:rsid w:val="00071E86"/>
    <w:rsid w:val="0007298A"/>
    <w:rsid w:val="00073960"/>
    <w:rsid w:val="0007399A"/>
    <w:rsid w:val="00074BC1"/>
    <w:rsid w:val="00076C2D"/>
    <w:rsid w:val="000779C3"/>
    <w:rsid w:val="000802FD"/>
    <w:rsid w:val="000819E0"/>
    <w:rsid w:val="0008210F"/>
    <w:rsid w:val="0008229E"/>
    <w:rsid w:val="00085EB0"/>
    <w:rsid w:val="000871AA"/>
    <w:rsid w:val="00087C3B"/>
    <w:rsid w:val="000902DA"/>
    <w:rsid w:val="0009138D"/>
    <w:rsid w:val="00091A0C"/>
    <w:rsid w:val="00092B54"/>
    <w:rsid w:val="0009331B"/>
    <w:rsid w:val="0009346F"/>
    <w:rsid w:val="000937DB"/>
    <w:rsid w:val="00094723"/>
    <w:rsid w:val="000A0104"/>
    <w:rsid w:val="000A023A"/>
    <w:rsid w:val="000A1128"/>
    <w:rsid w:val="000A4E64"/>
    <w:rsid w:val="000B1FEF"/>
    <w:rsid w:val="000B2268"/>
    <w:rsid w:val="000B3AD6"/>
    <w:rsid w:val="000B6777"/>
    <w:rsid w:val="000B6A50"/>
    <w:rsid w:val="000B796B"/>
    <w:rsid w:val="000C0A4C"/>
    <w:rsid w:val="000C1944"/>
    <w:rsid w:val="000C1A8F"/>
    <w:rsid w:val="000C1C84"/>
    <w:rsid w:val="000C3A61"/>
    <w:rsid w:val="000C3C6D"/>
    <w:rsid w:val="000C4BB2"/>
    <w:rsid w:val="000D1CD6"/>
    <w:rsid w:val="000D26D9"/>
    <w:rsid w:val="000D2A28"/>
    <w:rsid w:val="000D319F"/>
    <w:rsid w:val="000D399A"/>
    <w:rsid w:val="000E490D"/>
    <w:rsid w:val="000E4BB5"/>
    <w:rsid w:val="000F012E"/>
    <w:rsid w:val="000F4995"/>
    <w:rsid w:val="000F7495"/>
    <w:rsid w:val="000F7B3A"/>
    <w:rsid w:val="001002A3"/>
    <w:rsid w:val="00100DDD"/>
    <w:rsid w:val="001047DA"/>
    <w:rsid w:val="00105AD7"/>
    <w:rsid w:val="0010663A"/>
    <w:rsid w:val="00106E66"/>
    <w:rsid w:val="00107FA0"/>
    <w:rsid w:val="00111BBD"/>
    <w:rsid w:val="00111EDA"/>
    <w:rsid w:val="00114147"/>
    <w:rsid w:val="00117802"/>
    <w:rsid w:val="00120721"/>
    <w:rsid w:val="00122455"/>
    <w:rsid w:val="00130412"/>
    <w:rsid w:val="001308AC"/>
    <w:rsid w:val="00133588"/>
    <w:rsid w:val="0013534C"/>
    <w:rsid w:val="00135498"/>
    <w:rsid w:val="001357E9"/>
    <w:rsid w:val="0014112E"/>
    <w:rsid w:val="00141479"/>
    <w:rsid w:val="00143270"/>
    <w:rsid w:val="00143592"/>
    <w:rsid w:val="00143B67"/>
    <w:rsid w:val="00144358"/>
    <w:rsid w:val="00146AE2"/>
    <w:rsid w:val="001471B0"/>
    <w:rsid w:val="00147864"/>
    <w:rsid w:val="001518FA"/>
    <w:rsid w:val="00151B4B"/>
    <w:rsid w:val="0015343E"/>
    <w:rsid w:val="0015360A"/>
    <w:rsid w:val="00153A00"/>
    <w:rsid w:val="001551F4"/>
    <w:rsid w:val="00156FCE"/>
    <w:rsid w:val="0016024F"/>
    <w:rsid w:val="00160E39"/>
    <w:rsid w:val="001624A7"/>
    <w:rsid w:val="00162C5A"/>
    <w:rsid w:val="00164302"/>
    <w:rsid w:val="001644D4"/>
    <w:rsid w:val="00171E09"/>
    <w:rsid w:val="001736F0"/>
    <w:rsid w:val="00173E6A"/>
    <w:rsid w:val="0017403F"/>
    <w:rsid w:val="0017428A"/>
    <w:rsid w:val="00175FFC"/>
    <w:rsid w:val="0018040E"/>
    <w:rsid w:val="0018152F"/>
    <w:rsid w:val="001823A2"/>
    <w:rsid w:val="00182E65"/>
    <w:rsid w:val="00187362"/>
    <w:rsid w:val="00187504"/>
    <w:rsid w:val="00187A7B"/>
    <w:rsid w:val="00191156"/>
    <w:rsid w:val="00191370"/>
    <w:rsid w:val="001927DF"/>
    <w:rsid w:val="001941D6"/>
    <w:rsid w:val="00195324"/>
    <w:rsid w:val="001953D3"/>
    <w:rsid w:val="0019715D"/>
    <w:rsid w:val="001973E2"/>
    <w:rsid w:val="001A27CB"/>
    <w:rsid w:val="001A2EB1"/>
    <w:rsid w:val="001A457D"/>
    <w:rsid w:val="001A4E87"/>
    <w:rsid w:val="001A7FB9"/>
    <w:rsid w:val="001B034A"/>
    <w:rsid w:val="001B05F9"/>
    <w:rsid w:val="001B1117"/>
    <w:rsid w:val="001B49FB"/>
    <w:rsid w:val="001B4CD1"/>
    <w:rsid w:val="001B6116"/>
    <w:rsid w:val="001B6191"/>
    <w:rsid w:val="001B636C"/>
    <w:rsid w:val="001C03AF"/>
    <w:rsid w:val="001C064F"/>
    <w:rsid w:val="001C16E2"/>
    <w:rsid w:val="001C5778"/>
    <w:rsid w:val="001C686E"/>
    <w:rsid w:val="001D0D18"/>
    <w:rsid w:val="001D2CB8"/>
    <w:rsid w:val="001D3558"/>
    <w:rsid w:val="001D4231"/>
    <w:rsid w:val="001D523A"/>
    <w:rsid w:val="001D5480"/>
    <w:rsid w:val="001D7771"/>
    <w:rsid w:val="001E090A"/>
    <w:rsid w:val="001E0E66"/>
    <w:rsid w:val="001E30DE"/>
    <w:rsid w:val="001F0A49"/>
    <w:rsid w:val="001F2A29"/>
    <w:rsid w:val="001F31F4"/>
    <w:rsid w:val="001F33AF"/>
    <w:rsid w:val="001F3475"/>
    <w:rsid w:val="001F350B"/>
    <w:rsid w:val="001F70B3"/>
    <w:rsid w:val="001F7448"/>
    <w:rsid w:val="001F7766"/>
    <w:rsid w:val="00201C73"/>
    <w:rsid w:val="002050A8"/>
    <w:rsid w:val="00205A97"/>
    <w:rsid w:val="0020778B"/>
    <w:rsid w:val="00210271"/>
    <w:rsid w:val="00212180"/>
    <w:rsid w:val="00214809"/>
    <w:rsid w:val="00215362"/>
    <w:rsid w:val="00216C96"/>
    <w:rsid w:val="00217E4C"/>
    <w:rsid w:val="00222054"/>
    <w:rsid w:val="0022280A"/>
    <w:rsid w:val="00226F79"/>
    <w:rsid w:val="002301DF"/>
    <w:rsid w:val="00230B6D"/>
    <w:rsid w:val="00230C48"/>
    <w:rsid w:val="002312E3"/>
    <w:rsid w:val="002357D9"/>
    <w:rsid w:val="0023641F"/>
    <w:rsid w:val="002405DA"/>
    <w:rsid w:val="002410F1"/>
    <w:rsid w:val="00243F71"/>
    <w:rsid w:val="002455EC"/>
    <w:rsid w:val="00245B39"/>
    <w:rsid w:val="00245D31"/>
    <w:rsid w:val="0024744D"/>
    <w:rsid w:val="00247F11"/>
    <w:rsid w:val="0025288C"/>
    <w:rsid w:val="0025327D"/>
    <w:rsid w:val="00255DC3"/>
    <w:rsid w:val="00261B3B"/>
    <w:rsid w:val="00267AA4"/>
    <w:rsid w:val="0027300B"/>
    <w:rsid w:val="00273A88"/>
    <w:rsid w:val="002750AB"/>
    <w:rsid w:val="00275BC6"/>
    <w:rsid w:val="00276057"/>
    <w:rsid w:val="0028009E"/>
    <w:rsid w:val="002802E2"/>
    <w:rsid w:val="00280D06"/>
    <w:rsid w:val="00281519"/>
    <w:rsid w:val="00281BA9"/>
    <w:rsid w:val="00281D39"/>
    <w:rsid w:val="00285193"/>
    <w:rsid w:val="002857CD"/>
    <w:rsid w:val="00286582"/>
    <w:rsid w:val="002900C8"/>
    <w:rsid w:val="00293591"/>
    <w:rsid w:val="0029449E"/>
    <w:rsid w:val="00295D99"/>
    <w:rsid w:val="00295E82"/>
    <w:rsid w:val="002962F5"/>
    <w:rsid w:val="002A17B5"/>
    <w:rsid w:val="002A1C87"/>
    <w:rsid w:val="002A213A"/>
    <w:rsid w:val="002A5802"/>
    <w:rsid w:val="002A7B00"/>
    <w:rsid w:val="002B2502"/>
    <w:rsid w:val="002B34D3"/>
    <w:rsid w:val="002B48DB"/>
    <w:rsid w:val="002B4A34"/>
    <w:rsid w:val="002B5A1F"/>
    <w:rsid w:val="002B7D02"/>
    <w:rsid w:val="002B7DB5"/>
    <w:rsid w:val="002B7EB7"/>
    <w:rsid w:val="002C051A"/>
    <w:rsid w:val="002C14B5"/>
    <w:rsid w:val="002C1A79"/>
    <w:rsid w:val="002C298F"/>
    <w:rsid w:val="002C2B33"/>
    <w:rsid w:val="002C4C7F"/>
    <w:rsid w:val="002C4D3F"/>
    <w:rsid w:val="002C581F"/>
    <w:rsid w:val="002D0343"/>
    <w:rsid w:val="002D04C5"/>
    <w:rsid w:val="002D1836"/>
    <w:rsid w:val="002D2E93"/>
    <w:rsid w:val="002D51DC"/>
    <w:rsid w:val="002D5C4F"/>
    <w:rsid w:val="002D65A8"/>
    <w:rsid w:val="002D65C2"/>
    <w:rsid w:val="002E07D6"/>
    <w:rsid w:val="002E29AA"/>
    <w:rsid w:val="002E4B86"/>
    <w:rsid w:val="002E5E4B"/>
    <w:rsid w:val="002F0707"/>
    <w:rsid w:val="002F2CCE"/>
    <w:rsid w:val="002F2DD4"/>
    <w:rsid w:val="002F3FE6"/>
    <w:rsid w:val="002F5AF5"/>
    <w:rsid w:val="002F7592"/>
    <w:rsid w:val="003042BD"/>
    <w:rsid w:val="003052F0"/>
    <w:rsid w:val="00305432"/>
    <w:rsid w:val="00305D40"/>
    <w:rsid w:val="00306633"/>
    <w:rsid w:val="003100AA"/>
    <w:rsid w:val="00310111"/>
    <w:rsid w:val="0031121C"/>
    <w:rsid w:val="00311309"/>
    <w:rsid w:val="00311BBA"/>
    <w:rsid w:val="00312D06"/>
    <w:rsid w:val="00312EBA"/>
    <w:rsid w:val="003133DC"/>
    <w:rsid w:val="0031393D"/>
    <w:rsid w:val="00313E13"/>
    <w:rsid w:val="00314018"/>
    <w:rsid w:val="00315C8A"/>
    <w:rsid w:val="00316617"/>
    <w:rsid w:val="00316D21"/>
    <w:rsid w:val="00317D48"/>
    <w:rsid w:val="003201DE"/>
    <w:rsid w:val="00321B0E"/>
    <w:rsid w:val="00322C50"/>
    <w:rsid w:val="00325196"/>
    <w:rsid w:val="00327158"/>
    <w:rsid w:val="00331034"/>
    <w:rsid w:val="00333D3D"/>
    <w:rsid w:val="00335203"/>
    <w:rsid w:val="00335B92"/>
    <w:rsid w:val="00336046"/>
    <w:rsid w:val="003408EC"/>
    <w:rsid w:val="003423E4"/>
    <w:rsid w:val="003428CF"/>
    <w:rsid w:val="00343E58"/>
    <w:rsid w:val="003448BE"/>
    <w:rsid w:val="003448C9"/>
    <w:rsid w:val="00345019"/>
    <w:rsid w:val="00345485"/>
    <w:rsid w:val="00346838"/>
    <w:rsid w:val="00346F8D"/>
    <w:rsid w:val="00351415"/>
    <w:rsid w:val="00351D0A"/>
    <w:rsid w:val="00354323"/>
    <w:rsid w:val="00356014"/>
    <w:rsid w:val="003567C8"/>
    <w:rsid w:val="003605BD"/>
    <w:rsid w:val="00361921"/>
    <w:rsid w:val="00364FEE"/>
    <w:rsid w:val="00365B7F"/>
    <w:rsid w:val="00366E49"/>
    <w:rsid w:val="00367514"/>
    <w:rsid w:val="00367CD7"/>
    <w:rsid w:val="00367E7E"/>
    <w:rsid w:val="003701BA"/>
    <w:rsid w:val="00370E4B"/>
    <w:rsid w:val="00371A2D"/>
    <w:rsid w:val="00374323"/>
    <w:rsid w:val="00375124"/>
    <w:rsid w:val="00375878"/>
    <w:rsid w:val="00377C81"/>
    <w:rsid w:val="00380D10"/>
    <w:rsid w:val="00386898"/>
    <w:rsid w:val="00386C82"/>
    <w:rsid w:val="0038783F"/>
    <w:rsid w:val="003902F1"/>
    <w:rsid w:val="003903BD"/>
    <w:rsid w:val="0039047C"/>
    <w:rsid w:val="00391D1D"/>
    <w:rsid w:val="00394132"/>
    <w:rsid w:val="0039427E"/>
    <w:rsid w:val="003974CE"/>
    <w:rsid w:val="003A0838"/>
    <w:rsid w:val="003A0CC0"/>
    <w:rsid w:val="003A0CCB"/>
    <w:rsid w:val="003A1F00"/>
    <w:rsid w:val="003A6D5A"/>
    <w:rsid w:val="003B1893"/>
    <w:rsid w:val="003B2416"/>
    <w:rsid w:val="003B2D52"/>
    <w:rsid w:val="003B3A52"/>
    <w:rsid w:val="003B477A"/>
    <w:rsid w:val="003B79E2"/>
    <w:rsid w:val="003B7A47"/>
    <w:rsid w:val="003C0BCA"/>
    <w:rsid w:val="003C0DC9"/>
    <w:rsid w:val="003C10F5"/>
    <w:rsid w:val="003C1450"/>
    <w:rsid w:val="003C4DD9"/>
    <w:rsid w:val="003C5415"/>
    <w:rsid w:val="003C6A1F"/>
    <w:rsid w:val="003D0837"/>
    <w:rsid w:val="003D14DD"/>
    <w:rsid w:val="003D241D"/>
    <w:rsid w:val="003D4C4A"/>
    <w:rsid w:val="003D5562"/>
    <w:rsid w:val="003D5B4F"/>
    <w:rsid w:val="003D5B68"/>
    <w:rsid w:val="003D70B4"/>
    <w:rsid w:val="003E1482"/>
    <w:rsid w:val="003E2215"/>
    <w:rsid w:val="003E4169"/>
    <w:rsid w:val="003E6234"/>
    <w:rsid w:val="003E68F1"/>
    <w:rsid w:val="003E74DD"/>
    <w:rsid w:val="003F065C"/>
    <w:rsid w:val="003F0A02"/>
    <w:rsid w:val="003F2D85"/>
    <w:rsid w:val="003F48EF"/>
    <w:rsid w:val="003F6FF2"/>
    <w:rsid w:val="003F7269"/>
    <w:rsid w:val="0040095A"/>
    <w:rsid w:val="00402452"/>
    <w:rsid w:val="004033BE"/>
    <w:rsid w:val="00404F47"/>
    <w:rsid w:val="004064D6"/>
    <w:rsid w:val="004079DF"/>
    <w:rsid w:val="00407C90"/>
    <w:rsid w:val="004102A6"/>
    <w:rsid w:val="00411D25"/>
    <w:rsid w:val="00412039"/>
    <w:rsid w:val="00414DC7"/>
    <w:rsid w:val="00415928"/>
    <w:rsid w:val="00415F44"/>
    <w:rsid w:val="00416AFF"/>
    <w:rsid w:val="00417032"/>
    <w:rsid w:val="00417151"/>
    <w:rsid w:val="004172ED"/>
    <w:rsid w:val="00423103"/>
    <w:rsid w:val="00426860"/>
    <w:rsid w:val="004315D6"/>
    <w:rsid w:val="00431799"/>
    <w:rsid w:val="004357FC"/>
    <w:rsid w:val="00435E70"/>
    <w:rsid w:val="00435F08"/>
    <w:rsid w:val="00440573"/>
    <w:rsid w:val="00441FF0"/>
    <w:rsid w:val="00442738"/>
    <w:rsid w:val="0044303E"/>
    <w:rsid w:val="00443211"/>
    <w:rsid w:val="00443EEE"/>
    <w:rsid w:val="00446E7B"/>
    <w:rsid w:val="0045103C"/>
    <w:rsid w:val="00451862"/>
    <w:rsid w:val="00451EC5"/>
    <w:rsid w:val="00452443"/>
    <w:rsid w:val="00453206"/>
    <w:rsid w:val="0045355B"/>
    <w:rsid w:val="004562B8"/>
    <w:rsid w:val="0045636E"/>
    <w:rsid w:val="00456D32"/>
    <w:rsid w:val="0045765F"/>
    <w:rsid w:val="00462AAB"/>
    <w:rsid w:val="00463352"/>
    <w:rsid w:val="0046491B"/>
    <w:rsid w:val="00467EFE"/>
    <w:rsid w:val="00473C5F"/>
    <w:rsid w:val="00474EA9"/>
    <w:rsid w:val="004766FA"/>
    <w:rsid w:val="00476E28"/>
    <w:rsid w:val="004807D9"/>
    <w:rsid w:val="00482924"/>
    <w:rsid w:val="00483FE9"/>
    <w:rsid w:val="00484AC6"/>
    <w:rsid w:val="00484C26"/>
    <w:rsid w:val="00485E58"/>
    <w:rsid w:val="0048601B"/>
    <w:rsid w:val="004863E5"/>
    <w:rsid w:val="004864F2"/>
    <w:rsid w:val="00490B47"/>
    <w:rsid w:val="004916F4"/>
    <w:rsid w:val="00491DAC"/>
    <w:rsid w:val="00492DAC"/>
    <w:rsid w:val="00493FE3"/>
    <w:rsid w:val="00495A6D"/>
    <w:rsid w:val="0049769E"/>
    <w:rsid w:val="004A2DF7"/>
    <w:rsid w:val="004A3CFE"/>
    <w:rsid w:val="004A4FD6"/>
    <w:rsid w:val="004A54FA"/>
    <w:rsid w:val="004A5542"/>
    <w:rsid w:val="004A5BE9"/>
    <w:rsid w:val="004B0215"/>
    <w:rsid w:val="004B0474"/>
    <w:rsid w:val="004B0547"/>
    <w:rsid w:val="004B2585"/>
    <w:rsid w:val="004B2E38"/>
    <w:rsid w:val="004B5C15"/>
    <w:rsid w:val="004B64F3"/>
    <w:rsid w:val="004B74BF"/>
    <w:rsid w:val="004C20BB"/>
    <w:rsid w:val="004C34E7"/>
    <w:rsid w:val="004C47B9"/>
    <w:rsid w:val="004C4852"/>
    <w:rsid w:val="004C76FD"/>
    <w:rsid w:val="004D0824"/>
    <w:rsid w:val="004D4102"/>
    <w:rsid w:val="004D48C8"/>
    <w:rsid w:val="004D69F8"/>
    <w:rsid w:val="004E045A"/>
    <w:rsid w:val="004E0E55"/>
    <w:rsid w:val="004E225D"/>
    <w:rsid w:val="004E2A44"/>
    <w:rsid w:val="004E4F79"/>
    <w:rsid w:val="004F0B1A"/>
    <w:rsid w:val="004F13FF"/>
    <w:rsid w:val="004F232E"/>
    <w:rsid w:val="004F29B5"/>
    <w:rsid w:val="004F3FB3"/>
    <w:rsid w:val="004F5195"/>
    <w:rsid w:val="004F539A"/>
    <w:rsid w:val="004F53F7"/>
    <w:rsid w:val="004F65F6"/>
    <w:rsid w:val="00500056"/>
    <w:rsid w:val="00500874"/>
    <w:rsid w:val="00500BA2"/>
    <w:rsid w:val="0050112F"/>
    <w:rsid w:val="0050164C"/>
    <w:rsid w:val="005018F6"/>
    <w:rsid w:val="00502A88"/>
    <w:rsid w:val="00505A46"/>
    <w:rsid w:val="005070CE"/>
    <w:rsid w:val="005115E4"/>
    <w:rsid w:val="00514B2A"/>
    <w:rsid w:val="00515176"/>
    <w:rsid w:val="00516389"/>
    <w:rsid w:val="00516E74"/>
    <w:rsid w:val="005176A3"/>
    <w:rsid w:val="0052192B"/>
    <w:rsid w:val="00523499"/>
    <w:rsid w:val="00524210"/>
    <w:rsid w:val="00524A43"/>
    <w:rsid w:val="00525915"/>
    <w:rsid w:val="00525EB6"/>
    <w:rsid w:val="0052785C"/>
    <w:rsid w:val="005304BD"/>
    <w:rsid w:val="00536EA1"/>
    <w:rsid w:val="005408B7"/>
    <w:rsid w:val="00540F24"/>
    <w:rsid w:val="005412FA"/>
    <w:rsid w:val="00542970"/>
    <w:rsid w:val="00543FD0"/>
    <w:rsid w:val="005458A1"/>
    <w:rsid w:val="005503DE"/>
    <w:rsid w:val="005512BE"/>
    <w:rsid w:val="005528DF"/>
    <w:rsid w:val="0055326D"/>
    <w:rsid w:val="0055455F"/>
    <w:rsid w:val="005548F4"/>
    <w:rsid w:val="00555DF0"/>
    <w:rsid w:val="005567C9"/>
    <w:rsid w:val="005568EC"/>
    <w:rsid w:val="00556D35"/>
    <w:rsid w:val="00557B3A"/>
    <w:rsid w:val="00557E2A"/>
    <w:rsid w:val="00562683"/>
    <w:rsid w:val="00564F1A"/>
    <w:rsid w:val="00565D48"/>
    <w:rsid w:val="00565F9B"/>
    <w:rsid w:val="0056742A"/>
    <w:rsid w:val="00571789"/>
    <w:rsid w:val="005718A7"/>
    <w:rsid w:val="00571E2D"/>
    <w:rsid w:val="00573202"/>
    <w:rsid w:val="00574F9B"/>
    <w:rsid w:val="00582652"/>
    <w:rsid w:val="0058414E"/>
    <w:rsid w:val="00584EFD"/>
    <w:rsid w:val="00585BB3"/>
    <w:rsid w:val="00590910"/>
    <w:rsid w:val="00590E18"/>
    <w:rsid w:val="0059210B"/>
    <w:rsid w:val="005A29C1"/>
    <w:rsid w:val="005A2FDB"/>
    <w:rsid w:val="005A371C"/>
    <w:rsid w:val="005A3F64"/>
    <w:rsid w:val="005A416F"/>
    <w:rsid w:val="005A52C8"/>
    <w:rsid w:val="005A5C25"/>
    <w:rsid w:val="005A769C"/>
    <w:rsid w:val="005A77E2"/>
    <w:rsid w:val="005B0124"/>
    <w:rsid w:val="005B02FF"/>
    <w:rsid w:val="005B035A"/>
    <w:rsid w:val="005B1D11"/>
    <w:rsid w:val="005B3758"/>
    <w:rsid w:val="005B7ACA"/>
    <w:rsid w:val="005C01A1"/>
    <w:rsid w:val="005C0F16"/>
    <w:rsid w:val="005C17EE"/>
    <w:rsid w:val="005C21EE"/>
    <w:rsid w:val="005C272B"/>
    <w:rsid w:val="005C426D"/>
    <w:rsid w:val="005C53A0"/>
    <w:rsid w:val="005C55C0"/>
    <w:rsid w:val="005C7973"/>
    <w:rsid w:val="005D0726"/>
    <w:rsid w:val="005D2E96"/>
    <w:rsid w:val="005D344A"/>
    <w:rsid w:val="005D4C6B"/>
    <w:rsid w:val="005D4FBC"/>
    <w:rsid w:val="005D5F72"/>
    <w:rsid w:val="005E0179"/>
    <w:rsid w:val="005E0E3C"/>
    <w:rsid w:val="005E30BB"/>
    <w:rsid w:val="005E565C"/>
    <w:rsid w:val="005E59F9"/>
    <w:rsid w:val="005E5A21"/>
    <w:rsid w:val="005F16F9"/>
    <w:rsid w:val="005F1764"/>
    <w:rsid w:val="005F2C19"/>
    <w:rsid w:val="005F34C4"/>
    <w:rsid w:val="005F3751"/>
    <w:rsid w:val="005F6606"/>
    <w:rsid w:val="005F6BA1"/>
    <w:rsid w:val="005F6C59"/>
    <w:rsid w:val="00602298"/>
    <w:rsid w:val="00605471"/>
    <w:rsid w:val="00607367"/>
    <w:rsid w:val="006077B6"/>
    <w:rsid w:val="00610B0D"/>
    <w:rsid w:val="00610B36"/>
    <w:rsid w:val="00612C99"/>
    <w:rsid w:val="006139DF"/>
    <w:rsid w:val="00613BEA"/>
    <w:rsid w:val="006153C1"/>
    <w:rsid w:val="00615FE8"/>
    <w:rsid w:val="006201F4"/>
    <w:rsid w:val="00621615"/>
    <w:rsid w:val="0062248E"/>
    <w:rsid w:val="00624212"/>
    <w:rsid w:val="00624A14"/>
    <w:rsid w:val="00626A90"/>
    <w:rsid w:val="006302CF"/>
    <w:rsid w:val="006324D5"/>
    <w:rsid w:val="00632C07"/>
    <w:rsid w:val="00632E10"/>
    <w:rsid w:val="00634A9A"/>
    <w:rsid w:val="00635403"/>
    <w:rsid w:val="00640BDF"/>
    <w:rsid w:val="00641C9F"/>
    <w:rsid w:val="00641F08"/>
    <w:rsid w:val="00641FC2"/>
    <w:rsid w:val="00644AF2"/>
    <w:rsid w:val="00644F5C"/>
    <w:rsid w:val="006451A0"/>
    <w:rsid w:val="00646569"/>
    <w:rsid w:val="006505EF"/>
    <w:rsid w:val="006520D2"/>
    <w:rsid w:val="0065244D"/>
    <w:rsid w:val="00652ACC"/>
    <w:rsid w:val="00652C64"/>
    <w:rsid w:val="00653604"/>
    <w:rsid w:val="0065370E"/>
    <w:rsid w:val="00653EE4"/>
    <w:rsid w:val="00654680"/>
    <w:rsid w:val="00656B79"/>
    <w:rsid w:val="00657E20"/>
    <w:rsid w:val="00665E63"/>
    <w:rsid w:val="00670490"/>
    <w:rsid w:val="00671696"/>
    <w:rsid w:val="00671B5B"/>
    <w:rsid w:val="00672D3B"/>
    <w:rsid w:val="00680654"/>
    <w:rsid w:val="00682B29"/>
    <w:rsid w:val="00682FEF"/>
    <w:rsid w:val="0068315D"/>
    <w:rsid w:val="00684A61"/>
    <w:rsid w:val="00685A91"/>
    <w:rsid w:val="00687771"/>
    <w:rsid w:val="00692A23"/>
    <w:rsid w:val="006941FE"/>
    <w:rsid w:val="0069682C"/>
    <w:rsid w:val="006A06A6"/>
    <w:rsid w:val="006A07F9"/>
    <w:rsid w:val="006A1002"/>
    <w:rsid w:val="006A121C"/>
    <w:rsid w:val="006A18CA"/>
    <w:rsid w:val="006A21CB"/>
    <w:rsid w:val="006A55AC"/>
    <w:rsid w:val="006A57D9"/>
    <w:rsid w:val="006A5A88"/>
    <w:rsid w:val="006A7F45"/>
    <w:rsid w:val="006B1BE2"/>
    <w:rsid w:val="006B225F"/>
    <w:rsid w:val="006B2B83"/>
    <w:rsid w:val="006B46C4"/>
    <w:rsid w:val="006B688D"/>
    <w:rsid w:val="006C12CE"/>
    <w:rsid w:val="006C239C"/>
    <w:rsid w:val="006C25E8"/>
    <w:rsid w:val="006C2672"/>
    <w:rsid w:val="006C3374"/>
    <w:rsid w:val="006C3DDD"/>
    <w:rsid w:val="006C456D"/>
    <w:rsid w:val="006C7E41"/>
    <w:rsid w:val="006D010F"/>
    <w:rsid w:val="006D0A27"/>
    <w:rsid w:val="006D0FF2"/>
    <w:rsid w:val="006D2E05"/>
    <w:rsid w:val="006D3D67"/>
    <w:rsid w:val="006D556F"/>
    <w:rsid w:val="006D651E"/>
    <w:rsid w:val="006D6AEF"/>
    <w:rsid w:val="006E0CA3"/>
    <w:rsid w:val="006E224A"/>
    <w:rsid w:val="006E24C3"/>
    <w:rsid w:val="006E447B"/>
    <w:rsid w:val="006E583C"/>
    <w:rsid w:val="006E7D4D"/>
    <w:rsid w:val="006F2083"/>
    <w:rsid w:val="006F31F1"/>
    <w:rsid w:val="006F39D0"/>
    <w:rsid w:val="006F3C9C"/>
    <w:rsid w:val="006F41FE"/>
    <w:rsid w:val="006F4BB0"/>
    <w:rsid w:val="006F595A"/>
    <w:rsid w:val="006F759E"/>
    <w:rsid w:val="006F7F55"/>
    <w:rsid w:val="00700470"/>
    <w:rsid w:val="00700515"/>
    <w:rsid w:val="007013F9"/>
    <w:rsid w:val="00701B73"/>
    <w:rsid w:val="00701DBF"/>
    <w:rsid w:val="0070245F"/>
    <w:rsid w:val="0070301E"/>
    <w:rsid w:val="00703274"/>
    <w:rsid w:val="00703DD8"/>
    <w:rsid w:val="007062E8"/>
    <w:rsid w:val="007074DC"/>
    <w:rsid w:val="007101F2"/>
    <w:rsid w:val="00710F59"/>
    <w:rsid w:val="00712BE4"/>
    <w:rsid w:val="007135A0"/>
    <w:rsid w:val="00713B1F"/>
    <w:rsid w:val="00713BE1"/>
    <w:rsid w:val="00713C93"/>
    <w:rsid w:val="00715B34"/>
    <w:rsid w:val="00715FE5"/>
    <w:rsid w:val="00721E8A"/>
    <w:rsid w:val="00723D57"/>
    <w:rsid w:val="00727153"/>
    <w:rsid w:val="00730924"/>
    <w:rsid w:val="0073127B"/>
    <w:rsid w:val="00732CEC"/>
    <w:rsid w:val="00733A6B"/>
    <w:rsid w:val="007353C0"/>
    <w:rsid w:val="007360AE"/>
    <w:rsid w:val="00737A4D"/>
    <w:rsid w:val="0074052B"/>
    <w:rsid w:val="0074060C"/>
    <w:rsid w:val="00741546"/>
    <w:rsid w:val="00741696"/>
    <w:rsid w:val="00742784"/>
    <w:rsid w:val="00743DE1"/>
    <w:rsid w:val="00745988"/>
    <w:rsid w:val="00745FAA"/>
    <w:rsid w:val="00746163"/>
    <w:rsid w:val="0074699C"/>
    <w:rsid w:val="00746AEE"/>
    <w:rsid w:val="00746D28"/>
    <w:rsid w:val="00747FE8"/>
    <w:rsid w:val="0075072C"/>
    <w:rsid w:val="007517B9"/>
    <w:rsid w:val="0075190C"/>
    <w:rsid w:val="00752F72"/>
    <w:rsid w:val="0075351E"/>
    <w:rsid w:val="007542AE"/>
    <w:rsid w:val="00754B56"/>
    <w:rsid w:val="00756164"/>
    <w:rsid w:val="00764124"/>
    <w:rsid w:val="00765239"/>
    <w:rsid w:val="007653E5"/>
    <w:rsid w:val="00766B72"/>
    <w:rsid w:val="00771C5C"/>
    <w:rsid w:val="00772371"/>
    <w:rsid w:val="007733CA"/>
    <w:rsid w:val="0077366D"/>
    <w:rsid w:val="007744C6"/>
    <w:rsid w:val="00774F67"/>
    <w:rsid w:val="00775388"/>
    <w:rsid w:val="0077607C"/>
    <w:rsid w:val="00776C37"/>
    <w:rsid w:val="00777041"/>
    <w:rsid w:val="00782565"/>
    <w:rsid w:val="0078291C"/>
    <w:rsid w:val="0078356A"/>
    <w:rsid w:val="00783A74"/>
    <w:rsid w:val="0078436E"/>
    <w:rsid w:val="007866F3"/>
    <w:rsid w:val="007874CF"/>
    <w:rsid w:val="00787FE9"/>
    <w:rsid w:val="00790537"/>
    <w:rsid w:val="0079160A"/>
    <w:rsid w:val="00793B65"/>
    <w:rsid w:val="007942F7"/>
    <w:rsid w:val="007947E0"/>
    <w:rsid w:val="00795C17"/>
    <w:rsid w:val="007960CB"/>
    <w:rsid w:val="007A2141"/>
    <w:rsid w:val="007A298F"/>
    <w:rsid w:val="007A2A04"/>
    <w:rsid w:val="007A2E2E"/>
    <w:rsid w:val="007A4098"/>
    <w:rsid w:val="007A5B7B"/>
    <w:rsid w:val="007A6FE8"/>
    <w:rsid w:val="007A7228"/>
    <w:rsid w:val="007B058B"/>
    <w:rsid w:val="007B13B3"/>
    <w:rsid w:val="007B3AD2"/>
    <w:rsid w:val="007C147B"/>
    <w:rsid w:val="007C21D9"/>
    <w:rsid w:val="007C2B80"/>
    <w:rsid w:val="007C4E59"/>
    <w:rsid w:val="007D04D0"/>
    <w:rsid w:val="007D1121"/>
    <w:rsid w:val="007D1922"/>
    <w:rsid w:val="007D3E35"/>
    <w:rsid w:val="007D560F"/>
    <w:rsid w:val="007D5F67"/>
    <w:rsid w:val="007D63FC"/>
    <w:rsid w:val="007D6720"/>
    <w:rsid w:val="007D6948"/>
    <w:rsid w:val="007D7184"/>
    <w:rsid w:val="007E0145"/>
    <w:rsid w:val="007E13F4"/>
    <w:rsid w:val="007E27D8"/>
    <w:rsid w:val="007E2E4D"/>
    <w:rsid w:val="007E5126"/>
    <w:rsid w:val="007E6055"/>
    <w:rsid w:val="007E67AD"/>
    <w:rsid w:val="007E79D5"/>
    <w:rsid w:val="007F59B6"/>
    <w:rsid w:val="007F6EEC"/>
    <w:rsid w:val="00800534"/>
    <w:rsid w:val="00800E74"/>
    <w:rsid w:val="008052C8"/>
    <w:rsid w:val="008067E8"/>
    <w:rsid w:val="0080772F"/>
    <w:rsid w:val="008079C8"/>
    <w:rsid w:val="00812908"/>
    <w:rsid w:val="008131E5"/>
    <w:rsid w:val="00815066"/>
    <w:rsid w:val="00817169"/>
    <w:rsid w:val="00817CB1"/>
    <w:rsid w:val="00822427"/>
    <w:rsid w:val="008225C2"/>
    <w:rsid w:val="00823F21"/>
    <w:rsid w:val="0082547B"/>
    <w:rsid w:val="00830406"/>
    <w:rsid w:val="00830DDD"/>
    <w:rsid w:val="008317E8"/>
    <w:rsid w:val="00831DC9"/>
    <w:rsid w:val="0083260A"/>
    <w:rsid w:val="008330B7"/>
    <w:rsid w:val="00833B0B"/>
    <w:rsid w:val="0083698A"/>
    <w:rsid w:val="0083772C"/>
    <w:rsid w:val="00837916"/>
    <w:rsid w:val="0084077E"/>
    <w:rsid w:val="008415D1"/>
    <w:rsid w:val="0084323F"/>
    <w:rsid w:val="00843998"/>
    <w:rsid w:val="00843D1C"/>
    <w:rsid w:val="008452E9"/>
    <w:rsid w:val="00845ECF"/>
    <w:rsid w:val="008471A5"/>
    <w:rsid w:val="00850FED"/>
    <w:rsid w:val="0085137F"/>
    <w:rsid w:val="0086083D"/>
    <w:rsid w:val="00861D78"/>
    <w:rsid w:val="008623F3"/>
    <w:rsid w:val="008628BE"/>
    <w:rsid w:val="00862DD0"/>
    <w:rsid w:val="00863956"/>
    <w:rsid w:val="00866459"/>
    <w:rsid w:val="008709D7"/>
    <w:rsid w:val="00871F33"/>
    <w:rsid w:val="00872511"/>
    <w:rsid w:val="00875AAE"/>
    <w:rsid w:val="008779C9"/>
    <w:rsid w:val="008816C9"/>
    <w:rsid w:val="00882755"/>
    <w:rsid w:val="00883EC5"/>
    <w:rsid w:val="008909A3"/>
    <w:rsid w:val="00890BDB"/>
    <w:rsid w:val="00890F3C"/>
    <w:rsid w:val="00891CA3"/>
    <w:rsid w:val="00891CC9"/>
    <w:rsid w:val="00891D57"/>
    <w:rsid w:val="0089263F"/>
    <w:rsid w:val="0089270E"/>
    <w:rsid w:val="008930E6"/>
    <w:rsid w:val="008962FC"/>
    <w:rsid w:val="008A1619"/>
    <w:rsid w:val="008A301A"/>
    <w:rsid w:val="008A5F16"/>
    <w:rsid w:val="008A66F9"/>
    <w:rsid w:val="008B5322"/>
    <w:rsid w:val="008B54A5"/>
    <w:rsid w:val="008B5514"/>
    <w:rsid w:val="008B6287"/>
    <w:rsid w:val="008B65A6"/>
    <w:rsid w:val="008B74D2"/>
    <w:rsid w:val="008C0148"/>
    <w:rsid w:val="008C08BC"/>
    <w:rsid w:val="008C0A36"/>
    <w:rsid w:val="008C0A56"/>
    <w:rsid w:val="008C1E25"/>
    <w:rsid w:val="008C35F1"/>
    <w:rsid w:val="008C3667"/>
    <w:rsid w:val="008C4098"/>
    <w:rsid w:val="008C45DE"/>
    <w:rsid w:val="008C499D"/>
    <w:rsid w:val="008C7631"/>
    <w:rsid w:val="008D0E4C"/>
    <w:rsid w:val="008D3313"/>
    <w:rsid w:val="008D47F8"/>
    <w:rsid w:val="008D5B02"/>
    <w:rsid w:val="008D6D53"/>
    <w:rsid w:val="008D6DB0"/>
    <w:rsid w:val="008E06CF"/>
    <w:rsid w:val="008E0EF3"/>
    <w:rsid w:val="008E1688"/>
    <w:rsid w:val="008E25FD"/>
    <w:rsid w:val="008E2C07"/>
    <w:rsid w:val="008E3451"/>
    <w:rsid w:val="008E359E"/>
    <w:rsid w:val="008E42C3"/>
    <w:rsid w:val="008F1C27"/>
    <w:rsid w:val="008F537D"/>
    <w:rsid w:val="008F5EF6"/>
    <w:rsid w:val="008F7EE3"/>
    <w:rsid w:val="0090132B"/>
    <w:rsid w:val="009038FA"/>
    <w:rsid w:val="0090401C"/>
    <w:rsid w:val="009049E9"/>
    <w:rsid w:val="00905196"/>
    <w:rsid w:val="00905565"/>
    <w:rsid w:val="009101B2"/>
    <w:rsid w:val="00912D72"/>
    <w:rsid w:val="00913FB5"/>
    <w:rsid w:val="00915050"/>
    <w:rsid w:val="00915BEF"/>
    <w:rsid w:val="00916790"/>
    <w:rsid w:val="009202CB"/>
    <w:rsid w:val="009202CD"/>
    <w:rsid w:val="00920AD9"/>
    <w:rsid w:val="00921B35"/>
    <w:rsid w:val="00922A0A"/>
    <w:rsid w:val="0092334D"/>
    <w:rsid w:val="00923AF3"/>
    <w:rsid w:val="00924187"/>
    <w:rsid w:val="00924680"/>
    <w:rsid w:val="00925F1C"/>
    <w:rsid w:val="009274C8"/>
    <w:rsid w:val="009308EA"/>
    <w:rsid w:val="0093288C"/>
    <w:rsid w:val="00933276"/>
    <w:rsid w:val="009339CA"/>
    <w:rsid w:val="009340CB"/>
    <w:rsid w:val="0093411E"/>
    <w:rsid w:val="0093413E"/>
    <w:rsid w:val="0093532C"/>
    <w:rsid w:val="009356B6"/>
    <w:rsid w:val="009359F4"/>
    <w:rsid w:val="009362AC"/>
    <w:rsid w:val="00941466"/>
    <w:rsid w:val="00941CE4"/>
    <w:rsid w:val="00941D56"/>
    <w:rsid w:val="009425FD"/>
    <w:rsid w:val="0094339E"/>
    <w:rsid w:val="009436A2"/>
    <w:rsid w:val="00944C3D"/>
    <w:rsid w:val="00944CEA"/>
    <w:rsid w:val="00946056"/>
    <w:rsid w:val="0094681A"/>
    <w:rsid w:val="0094795C"/>
    <w:rsid w:val="00947EEA"/>
    <w:rsid w:val="00947F8B"/>
    <w:rsid w:val="00950789"/>
    <w:rsid w:val="0095131A"/>
    <w:rsid w:val="009519DF"/>
    <w:rsid w:val="00953240"/>
    <w:rsid w:val="00953B43"/>
    <w:rsid w:val="009560CF"/>
    <w:rsid w:val="00956E2C"/>
    <w:rsid w:val="00960043"/>
    <w:rsid w:val="00962651"/>
    <w:rsid w:val="00964367"/>
    <w:rsid w:val="009653FB"/>
    <w:rsid w:val="00966DCE"/>
    <w:rsid w:val="009729DF"/>
    <w:rsid w:val="009742C4"/>
    <w:rsid w:val="00976EFB"/>
    <w:rsid w:val="009802F9"/>
    <w:rsid w:val="0098077E"/>
    <w:rsid w:val="00981DA5"/>
    <w:rsid w:val="00982AF8"/>
    <w:rsid w:val="009840C8"/>
    <w:rsid w:val="0098410C"/>
    <w:rsid w:val="00984F02"/>
    <w:rsid w:val="009859C4"/>
    <w:rsid w:val="00985BE1"/>
    <w:rsid w:val="00986169"/>
    <w:rsid w:val="0098635E"/>
    <w:rsid w:val="00991D93"/>
    <w:rsid w:val="00993696"/>
    <w:rsid w:val="00993FDE"/>
    <w:rsid w:val="00994279"/>
    <w:rsid w:val="0099640F"/>
    <w:rsid w:val="009969C4"/>
    <w:rsid w:val="00997120"/>
    <w:rsid w:val="00997621"/>
    <w:rsid w:val="00997A4D"/>
    <w:rsid w:val="00997B10"/>
    <w:rsid w:val="009A078A"/>
    <w:rsid w:val="009A0AB1"/>
    <w:rsid w:val="009A2E7D"/>
    <w:rsid w:val="009A2EC1"/>
    <w:rsid w:val="009A4382"/>
    <w:rsid w:val="009A4B7C"/>
    <w:rsid w:val="009B215A"/>
    <w:rsid w:val="009B3656"/>
    <w:rsid w:val="009B6205"/>
    <w:rsid w:val="009C0072"/>
    <w:rsid w:val="009C093B"/>
    <w:rsid w:val="009C0E4F"/>
    <w:rsid w:val="009C0E6B"/>
    <w:rsid w:val="009C2CEE"/>
    <w:rsid w:val="009C3B6A"/>
    <w:rsid w:val="009C4D41"/>
    <w:rsid w:val="009D178D"/>
    <w:rsid w:val="009D1900"/>
    <w:rsid w:val="009D3E7D"/>
    <w:rsid w:val="009D4051"/>
    <w:rsid w:val="009D7317"/>
    <w:rsid w:val="009E07C0"/>
    <w:rsid w:val="009E0ED7"/>
    <w:rsid w:val="009E21B5"/>
    <w:rsid w:val="009E48E5"/>
    <w:rsid w:val="009E69A8"/>
    <w:rsid w:val="009F08D6"/>
    <w:rsid w:val="009F0B8C"/>
    <w:rsid w:val="009F2364"/>
    <w:rsid w:val="009F3DF7"/>
    <w:rsid w:val="009F4450"/>
    <w:rsid w:val="009F4F8F"/>
    <w:rsid w:val="009F5621"/>
    <w:rsid w:val="009F5708"/>
    <w:rsid w:val="009F58DD"/>
    <w:rsid w:val="009F7530"/>
    <w:rsid w:val="00A00A80"/>
    <w:rsid w:val="00A03AAA"/>
    <w:rsid w:val="00A063A1"/>
    <w:rsid w:val="00A07A15"/>
    <w:rsid w:val="00A10049"/>
    <w:rsid w:val="00A11426"/>
    <w:rsid w:val="00A121EA"/>
    <w:rsid w:val="00A147F5"/>
    <w:rsid w:val="00A14882"/>
    <w:rsid w:val="00A16BEE"/>
    <w:rsid w:val="00A22179"/>
    <w:rsid w:val="00A23EA3"/>
    <w:rsid w:val="00A24C34"/>
    <w:rsid w:val="00A266EB"/>
    <w:rsid w:val="00A26F4B"/>
    <w:rsid w:val="00A31E00"/>
    <w:rsid w:val="00A35EDE"/>
    <w:rsid w:val="00A37B33"/>
    <w:rsid w:val="00A424AD"/>
    <w:rsid w:val="00A474DB"/>
    <w:rsid w:val="00A510CE"/>
    <w:rsid w:val="00A53B71"/>
    <w:rsid w:val="00A547CD"/>
    <w:rsid w:val="00A559CA"/>
    <w:rsid w:val="00A55A1C"/>
    <w:rsid w:val="00A55F50"/>
    <w:rsid w:val="00A56306"/>
    <w:rsid w:val="00A61598"/>
    <w:rsid w:val="00A615E0"/>
    <w:rsid w:val="00A62950"/>
    <w:rsid w:val="00A637B6"/>
    <w:rsid w:val="00A6496C"/>
    <w:rsid w:val="00A67A54"/>
    <w:rsid w:val="00A722E5"/>
    <w:rsid w:val="00A72E8D"/>
    <w:rsid w:val="00A7432C"/>
    <w:rsid w:val="00A747E0"/>
    <w:rsid w:val="00A74CDE"/>
    <w:rsid w:val="00A75339"/>
    <w:rsid w:val="00A75B4B"/>
    <w:rsid w:val="00A75EE6"/>
    <w:rsid w:val="00A75FEA"/>
    <w:rsid w:val="00A82B83"/>
    <w:rsid w:val="00A845C8"/>
    <w:rsid w:val="00A8670B"/>
    <w:rsid w:val="00A907BC"/>
    <w:rsid w:val="00A91BB6"/>
    <w:rsid w:val="00A924C5"/>
    <w:rsid w:val="00A943C6"/>
    <w:rsid w:val="00A94506"/>
    <w:rsid w:val="00A94C46"/>
    <w:rsid w:val="00A95C14"/>
    <w:rsid w:val="00A95EAB"/>
    <w:rsid w:val="00AA0CD6"/>
    <w:rsid w:val="00AA1AF8"/>
    <w:rsid w:val="00AA39C7"/>
    <w:rsid w:val="00AA40E3"/>
    <w:rsid w:val="00AA4E0B"/>
    <w:rsid w:val="00AA54B1"/>
    <w:rsid w:val="00AA6DE9"/>
    <w:rsid w:val="00AA77E7"/>
    <w:rsid w:val="00AB09C2"/>
    <w:rsid w:val="00AB1AAF"/>
    <w:rsid w:val="00AB21D3"/>
    <w:rsid w:val="00AB2356"/>
    <w:rsid w:val="00AB3136"/>
    <w:rsid w:val="00AB3E45"/>
    <w:rsid w:val="00AB7235"/>
    <w:rsid w:val="00AC0099"/>
    <w:rsid w:val="00AC12CD"/>
    <w:rsid w:val="00AC1AA7"/>
    <w:rsid w:val="00AC1F7B"/>
    <w:rsid w:val="00AC2461"/>
    <w:rsid w:val="00AC2DFF"/>
    <w:rsid w:val="00AC2E7D"/>
    <w:rsid w:val="00AC3158"/>
    <w:rsid w:val="00AC38F4"/>
    <w:rsid w:val="00AC50A9"/>
    <w:rsid w:val="00AC737D"/>
    <w:rsid w:val="00AC757D"/>
    <w:rsid w:val="00AD0EF0"/>
    <w:rsid w:val="00AD33E2"/>
    <w:rsid w:val="00AD4B7F"/>
    <w:rsid w:val="00AD609D"/>
    <w:rsid w:val="00AD6424"/>
    <w:rsid w:val="00AD65FB"/>
    <w:rsid w:val="00AD7861"/>
    <w:rsid w:val="00AE01D3"/>
    <w:rsid w:val="00AE1C4E"/>
    <w:rsid w:val="00AE1EF1"/>
    <w:rsid w:val="00AE3CB9"/>
    <w:rsid w:val="00AE490F"/>
    <w:rsid w:val="00AE5448"/>
    <w:rsid w:val="00AF2121"/>
    <w:rsid w:val="00AF3920"/>
    <w:rsid w:val="00AF4132"/>
    <w:rsid w:val="00AF584F"/>
    <w:rsid w:val="00B0079B"/>
    <w:rsid w:val="00B01E6D"/>
    <w:rsid w:val="00B04713"/>
    <w:rsid w:val="00B06424"/>
    <w:rsid w:val="00B1267F"/>
    <w:rsid w:val="00B13117"/>
    <w:rsid w:val="00B1558A"/>
    <w:rsid w:val="00B17886"/>
    <w:rsid w:val="00B228EC"/>
    <w:rsid w:val="00B22C8C"/>
    <w:rsid w:val="00B233E2"/>
    <w:rsid w:val="00B27661"/>
    <w:rsid w:val="00B27BF4"/>
    <w:rsid w:val="00B34200"/>
    <w:rsid w:val="00B34657"/>
    <w:rsid w:val="00B40425"/>
    <w:rsid w:val="00B41B11"/>
    <w:rsid w:val="00B42615"/>
    <w:rsid w:val="00B43F45"/>
    <w:rsid w:val="00B45C11"/>
    <w:rsid w:val="00B45DAD"/>
    <w:rsid w:val="00B4720F"/>
    <w:rsid w:val="00B56BAA"/>
    <w:rsid w:val="00B5798C"/>
    <w:rsid w:val="00B6250D"/>
    <w:rsid w:val="00B63569"/>
    <w:rsid w:val="00B64B44"/>
    <w:rsid w:val="00B64CA3"/>
    <w:rsid w:val="00B64E45"/>
    <w:rsid w:val="00B66201"/>
    <w:rsid w:val="00B6749C"/>
    <w:rsid w:val="00B67BBB"/>
    <w:rsid w:val="00B67CFC"/>
    <w:rsid w:val="00B67F3F"/>
    <w:rsid w:val="00B702AC"/>
    <w:rsid w:val="00B70FFC"/>
    <w:rsid w:val="00B74AC2"/>
    <w:rsid w:val="00B74EC7"/>
    <w:rsid w:val="00B76D55"/>
    <w:rsid w:val="00B77711"/>
    <w:rsid w:val="00B8038C"/>
    <w:rsid w:val="00B80AD4"/>
    <w:rsid w:val="00B83627"/>
    <w:rsid w:val="00B8533B"/>
    <w:rsid w:val="00B85975"/>
    <w:rsid w:val="00B87AF6"/>
    <w:rsid w:val="00B903B4"/>
    <w:rsid w:val="00B90A04"/>
    <w:rsid w:val="00B90F8E"/>
    <w:rsid w:val="00B92119"/>
    <w:rsid w:val="00B92EDC"/>
    <w:rsid w:val="00B93EF7"/>
    <w:rsid w:val="00B97962"/>
    <w:rsid w:val="00BA1E41"/>
    <w:rsid w:val="00BA3AB0"/>
    <w:rsid w:val="00BA3EC5"/>
    <w:rsid w:val="00BA5869"/>
    <w:rsid w:val="00BA69C4"/>
    <w:rsid w:val="00BA6C42"/>
    <w:rsid w:val="00BB2B24"/>
    <w:rsid w:val="00BB3C22"/>
    <w:rsid w:val="00BB436C"/>
    <w:rsid w:val="00BB43B0"/>
    <w:rsid w:val="00BB4CF6"/>
    <w:rsid w:val="00BB50E9"/>
    <w:rsid w:val="00BB5550"/>
    <w:rsid w:val="00BB67E4"/>
    <w:rsid w:val="00BB7302"/>
    <w:rsid w:val="00BB75B6"/>
    <w:rsid w:val="00BC2ACF"/>
    <w:rsid w:val="00BC4209"/>
    <w:rsid w:val="00BC4D4F"/>
    <w:rsid w:val="00BC53BB"/>
    <w:rsid w:val="00BC6133"/>
    <w:rsid w:val="00BC6782"/>
    <w:rsid w:val="00BC6CD1"/>
    <w:rsid w:val="00BC74C8"/>
    <w:rsid w:val="00BC77ED"/>
    <w:rsid w:val="00BC7AED"/>
    <w:rsid w:val="00BD3791"/>
    <w:rsid w:val="00BD4345"/>
    <w:rsid w:val="00BD4622"/>
    <w:rsid w:val="00BD7607"/>
    <w:rsid w:val="00BE10C0"/>
    <w:rsid w:val="00BE3AB3"/>
    <w:rsid w:val="00BE3DF5"/>
    <w:rsid w:val="00BE466F"/>
    <w:rsid w:val="00BE52A8"/>
    <w:rsid w:val="00BE5C89"/>
    <w:rsid w:val="00BE720C"/>
    <w:rsid w:val="00BE7F14"/>
    <w:rsid w:val="00BF0240"/>
    <w:rsid w:val="00BF2901"/>
    <w:rsid w:val="00BF4F81"/>
    <w:rsid w:val="00BF65CE"/>
    <w:rsid w:val="00BF693F"/>
    <w:rsid w:val="00BF7A77"/>
    <w:rsid w:val="00C00B04"/>
    <w:rsid w:val="00C01699"/>
    <w:rsid w:val="00C037C9"/>
    <w:rsid w:val="00C068AD"/>
    <w:rsid w:val="00C10AFB"/>
    <w:rsid w:val="00C11CE5"/>
    <w:rsid w:val="00C122F6"/>
    <w:rsid w:val="00C153F5"/>
    <w:rsid w:val="00C155F2"/>
    <w:rsid w:val="00C15639"/>
    <w:rsid w:val="00C15D33"/>
    <w:rsid w:val="00C171AA"/>
    <w:rsid w:val="00C20EAE"/>
    <w:rsid w:val="00C22007"/>
    <w:rsid w:val="00C23057"/>
    <w:rsid w:val="00C230F3"/>
    <w:rsid w:val="00C24B72"/>
    <w:rsid w:val="00C2609D"/>
    <w:rsid w:val="00C30998"/>
    <w:rsid w:val="00C309FD"/>
    <w:rsid w:val="00C339F2"/>
    <w:rsid w:val="00C33E6B"/>
    <w:rsid w:val="00C3755E"/>
    <w:rsid w:val="00C37858"/>
    <w:rsid w:val="00C37EA2"/>
    <w:rsid w:val="00C43161"/>
    <w:rsid w:val="00C4348C"/>
    <w:rsid w:val="00C4469B"/>
    <w:rsid w:val="00C457FC"/>
    <w:rsid w:val="00C47721"/>
    <w:rsid w:val="00C5181F"/>
    <w:rsid w:val="00C52C1B"/>
    <w:rsid w:val="00C53D9A"/>
    <w:rsid w:val="00C53FD4"/>
    <w:rsid w:val="00C5410F"/>
    <w:rsid w:val="00C6035D"/>
    <w:rsid w:val="00C60DEE"/>
    <w:rsid w:val="00C64F78"/>
    <w:rsid w:val="00C716A2"/>
    <w:rsid w:val="00C7174C"/>
    <w:rsid w:val="00C71A5A"/>
    <w:rsid w:val="00C71BD5"/>
    <w:rsid w:val="00C72529"/>
    <w:rsid w:val="00C726A9"/>
    <w:rsid w:val="00C73F91"/>
    <w:rsid w:val="00C744A7"/>
    <w:rsid w:val="00C74B27"/>
    <w:rsid w:val="00C76309"/>
    <w:rsid w:val="00C76AB6"/>
    <w:rsid w:val="00C76CC0"/>
    <w:rsid w:val="00C77B05"/>
    <w:rsid w:val="00C80433"/>
    <w:rsid w:val="00C80438"/>
    <w:rsid w:val="00C8269B"/>
    <w:rsid w:val="00C85213"/>
    <w:rsid w:val="00C85F35"/>
    <w:rsid w:val="00C86C0A"/>
    <w:rsid w:val="00C86D34"/>
    <w:rsid w:val="00C8793E"/>
    <w:rsid w:val="00C87A99"/>
    <w:rsid w:val="00C87BEF"/>
    <w:rsid w:val="00C9042A"/>
    <w:rsid w:val="00C90FD0"/>
    <w:rsid w:val="00C91145"/>
    <w:rsid w:val="00C94F83"/>
    <w:rsid w:val="00C954E5"/>
    <w:rsid w:val="00C95860"/>
    <w:rsid w:val="00C96D82"/>
    <w:rsid w:val="00C97693"/>
    <w:rsid w:val="00CA15D9"/>
    <w:rsid w:val="00CA2456"/>
    <w:rsid w:val="00CA2A7E"/>
    <w:rsid w:val="00CA30D5"/>
    <w:rsid w:val="00CA4577"/>
    <w:rsid w:val="00CA56B6"/>
    <w:rsid w:val="00CA56EA"/>
    <w:rsid w:val="00CA5E98"/>
    <w:rsid w:val="00CA7BF0"/>
    <w:rsid w:val="00CB05F8"/>
    <w:rsid w:val="00CB1824"/>
    <w:rsid w:val="00CB19C0"/>
    <w:rsid w:val="00CB1DE0"/>
    <w:rsid w:val="00CB3209"/>
    <w:rsid w:val="00CB3E23"/>
    <w:rsid w:val="00CB676C"/>
    <w:rsid w:val="00CC053D"/>
    <w:rsid w:val="00CC07E0"/>
    <w:rsid w:val="00CC07FE"/>
    <w:rsid w:val="00CC1F8C"/>
    <w:rsid w:val="00CC407F"/>
    <w:rsid w:val="00CC4DBD"/>
    <w:rsid w:val="00CC631E"/>
    <w:rsid w:val="00CC6A1F"/>
    <w:rsid w:val="00CC74A2"/>
    <w:rsid w:val="00CD3AF5"/>
    <w:rsid w:val="00CD5087"/>
    <w:rsid w:val="00CD5AE7"/>
    <w:rsid w:val="00CE00D3"/>
    <w:rsid w:val="00CE0986"/>
    <w:rsid w:val="00CE0CFB"/>
    <w:rsid w:val="00CE28FC"/>
    <w:rsid w:val="00CE6B06"/>
    <w:rsid w:val="00CF0597"/>
    <w:rsid w:val="00CF0623"/>
    <w:rsid w:val="00CF1246"/>
    <w:rsid w:val="00CF1618"/>
    <w:rsid w:val="00CF2838"/>
    <w:rsid w:val="00CF4271"/>
    <w:rsid w:val="00CF447E"/>
    <w:rsid w:val="00CF50EE"/>
    <w:rsid w:val="00CF5219"/>
    <w:rsid w:val="00CF6628"/>
    <w:rsid w:val="00CF7AD0"/>
    <w:rsid w:val="00D01786"/>
    <w:rsid w:val="00D026C7"/>
    <w:rsid w:val="00D030DC"/>
    <w:rsid w:val="00D0332B"/>
    <w:rsid w:val="00D05621"/>
    <w:rsid w:val="00D07AA5"/>
    <w:rsid w:val="00D106CA"/>
    <w:rsid w:val="00D1125E"/>
    <w:rsid w:val="00D120D4"/>
    <w:rsid w:val="00D13824"/>
    <w:rsid w:val="00D13BFF"/>
    <w:rsid w:val="00D142A7"/>
    <w:rsid w:val="00D14931"/>
    <w:rsid w:val="00D153D3"/>
    <w:rsid w:val="00D15B6A"/>
    <w:rsid w:val="00D178B9"/>
    <w:rsid w:val="00D17E99"/>
    <w:rsid w:val="00D21ABF"/>
    <w:rsid w:val="00D21D40"/>
    <w:rsid w:val="00D23167"/>
    <w:rsid w:val="00D233FE"/>
    <w:rsid w:val="00D24050"/>
    <w:rsid w:val="00D242C9"/>
    <w:rsid w:val="00D24DA8"/>
    <w:rsid w:val="00D271A8"/>
    <w:rsid w:val="00D305DA"/>
    <w:rsid w:val="00D328B1"/>
    <w:rsid w:val="00D362D4"/>
    <w:rsid w:val="00D367FB"/>
    <w:rsid w:val="00D36D47"/>
    <w:rsid w:val="00D37B58"/>
    <w:rsid w:val="00D424CB"/>
    <w:rsid w:val="00D42DA9"/>
    <w:rsid w:val="00D43202"/>
    <w:rsid w:val="00D45F3D"/>
    <w:rsid w:val="00D463C1"/>
    <w:rsid w:val="00D505D8"/>
    <w:rsid w:val="00D50EB3"/>
    <w:rsid w:val="00D545CF"/>
    <w:rsid w:val="00D54DDF"/>
    <w:rsid w:val="00D616EB"/>
    <w:rsid w:val="00D632D8"/>
    <w:rsid w:val="00D64616"/>
    <w:rsid w:val="00D71505"/>
    <w:rsid w:val="00D71CA4"/>
    <w:rsid w:val="00D72285"/>
    <w:rsid w:val="00D73121"/>
    <w:rsid w:val="00D737C4"/>
    <w:rsid w:val="00D73C6C"/>
    <w:rsid w:val="00D75E39"/>
    <w:rsid w:val="00D80256"/>
    <w:rsid w:val="00D804CD"/>
    <w:rsid w:val="00D824A2"/>
    <w:rsid w:val="00D832F7"/>
    <w:rsid w:val="00D8382C"/>
    <w:rsid w:val="00D838A5"/>
    <w:rsid w:val="00D856F7"/>
    <w:rsid w:val="00D8594E"/>
    <w:rsid w:val="00D866F7"/>
    <w:rsid w:val="00D8704A"/>
    <w:rsid w:val="00D903F4"/>
    <w:rsid w:val="00D91A88"/>
    <w:rsid w:val="00D91FFD"/>
    <w:rsid w:val="00D923B4"/>
    <w:rsid w:val="00D927CE"/>
    <w:rsid w:val="00D9335D"/>
    <w:rsid w:val="00D96759"/>
    <w:rsid w:val="00D97243"/>
    <w:rsid w:val="00D97333"/>
    <w:rsid w:val="00D976D2"/>
    <w:rsid w:val="00DA1435"/>
    <w:rsid w:val="00DA20FF"/>
    <w:rsid w:val="00DA68B5"/>
    <w:rsid w:val="00DA785C"/>
    <w:rsid w:val="00DB06C5"/>
    <w:rsid w:val="00DB0F22"/>
    <w:rsid w:val="00DB1B8C"/>
    <w:rsid w:val="00DB1DDC"/>
    <w:rsid w:val="00DB24C2"/>
    <w:rsid w:val="00DB2A91"/>
    <w:rsid w:val="00DB35DD"/>
    <w:rsid w:val="00DB6FDD"/>
    <w:rsid w:val="00DC4A0E"/>
    <w:rsid w:val="00DC4F80"/>
    <w:rsid w:val="00DD30DA"/>
    <w:rsid w:val="00DD6B9F"/>
    <w:rsid w:val="00DE2A7A"/>
    <w:rsid w:val="00DE2F75"/>
    <w:rsid w:val="00DE452F"/>
    <w:rsid w:val="00DE59A0"/>
    <w:rsid w:val="00DE7312"/>
    <w:rsid w:val="00DF1261"/>
    <w:rsid w:val="00DF132C"/>
    <w:rsid w:val="00DF1A44"/>
    <w:rsid w:val="00DF270E"/>
    <w:rsid w:val="00DF3ACB"/>
    <w:rsid w:val="00DF4D40"/>
    <w:rsid w:val="00DF4E1C"/>
    <w:rsid w:val="00DF6176"/>
    <w:rsid w:val="00DF70EE"/>
    <w:rsid w:val="00DF73F7"/>
    <w:rsid w:val="00E003C2"/>
    <w:rsid w:val="00E0250E"/>
    <w:rsid w:val="00E0369E"/>
    <w:rsid w:val="00E043DF"/>
    <w:rsid w:val="00E0583D"/>
    <w:rsid w:val="00E06DFF"/>
    <w:rsid w:val="00E073D1"/>
    <w:rsid w:val="00E07929"/>
    <w:rsid w:val="00E10961"/>
    <w:rsid w:val="00E1119F"/>
    <w:rsid w:val="00E13193"/>
    <w:rsid w:val="00E13FC9"/>
    <w:rsid w:val="00E144F1"/>
    <w:rsid w:val="00E17EA6"/>
    <w:rsid w:val="00E20D63"/>
    <w:rsid w:val="00E23524"/>
    <w:rsid w:val="00E236EF"/>
    <w:rsid w:val="00E24481"/>
    <w:rsid w:val="00E25B82"/>
    <w:rsid w:val="00E25BDB"/>
    <w:rsid w:val="00E31C75"/>
    <w:rsid w:val="00E331C5"/>
    <w:rsid w:val="00E33932"/>
    <w:rsid w:val="00E35C87"/>
    <w:rsid w:val="00E471A9"/>
    <w:rsid w:val="00E47567"/>
    <w:rsid w:val="00E47ECF"/>
    <w:rsid w:val="00E5022C"/>
    <w:rsid w:val="00E508AD"/>
    <w:rsid w:val="00E5143B"/>
    <w:rsid w:val="00E51B8A"/>
    <w:rsid w:val="00E521ED"/>
    <w:rsid w:val="00E52C7B"/>
    <w:rsid w:val="00E55873"/>
    <w:rsid w:val="00E55EE5"/>
    <w:rsid w:val="00E57D74"/>
    <w:rsid w:val="00E6070F"/>
    <w:rsid w:val="00E61338"/>
    <w:rsid w:val="00E6180E"/>
    <w:rsid w:val="00E62EBF"/>
    <w:rsid w:val="00E63498"/>
    <w:rsid w:val="00E63B15"/>
    <w:rsid w:val="00E64AAF"/>
    <w:rsid w:val="00E65F8C"/>
    <w:rsid w:val="00E669C5"/>
    <w:rsid w:val="00E66FB8"/>
    <w:rsid w:val="00E66FFA"/>
    <w:rsid w:val="00E70AC9"/>
    <w:rsid w:val="00E72611"/>
    <w:rsid w:val="00E7358E"/>
    <w:rsid w:val="00E7606B"/>
    <w:rsid w:val="00E76AED"/>
    <w:rsid w:val="00E77303"/>
    <w:rsid w:val="00E775BC"/>
    <w:rsid w:val="00E77E29"/>
    <w:rsid w:val="00E80E08"/>
    <w:rsid w:val="00E8189F"/>
    <w:rsid w:val="00E827FA"/>
    <w:rsid w:val="00E83F92"/>
    <w:rsid w:val="00E849E6"/>
    <w:rsid w:val="00E85227"/>
    <w:rsid w:val="00E87384"/>
    <w:rsid w:val="00E923D4"/>
    <w:rsid w:val="00E93708"/>
    <w:rsid w:val="00E94F85"/>
    <w:rsid w:val="00E9514F"/>
    <w:rsid w:val="00E95694"/>
    <w:rsid w:val="00E9607F"/>
    <w:rsid w:val="00EA0008"/>
    <w:rsid w:val="00EA001B"/>
    <w:rsid w:val="00EA1268"/>
    <w:rsid w:val="00EA1DDB"/>
    <w:rsid w:val="00EA54DE"/>
    <w:rsid w:val="00EA76AB"/>
    <w:rsid w:val="00EA7923"/>
    <w:rsid w:val="00EB002E"/>
    <w:rsid w:val="00EB25AB"/>
    <w:rsid w:val="00EB40C9"/>
    <w:rsid w:val="00EB4DD7"/>
    <w:rsid w:val="00EB58D0"/>
    <w:rsid w:val="00EB60CA"/>
    <w:rsid w:val="00EB7B10"/>
    <w:rsid w:val="00EB7FCB"/>
    <w:rsid w:val="00EC0254"/>
    <w:rsid w:val="00EC0630"/>
    <w:rsid w:val="00EC1A4D"/>
    <w:rsid w:val="00EC3DE5"/>
    <w:rsid w:val="00EC5FB8"/>
    <w:rsid w:val="00EC7185"/>
    <w:rsid w:val="00ED048F"/>
    <w:rsid w:val="00ED1E72"/>
    <w:rsid w:val="00ED2B07"/>
    <w:rsid w:val="00ED38C1"/>
    <w:rsid w:val="00ED3C26"/>
    <w:rsid w:val="00ED5202"/>
    <w:rsid w:val="00EE3972"/>
    <w:rsid w:val="00EE4792"/>
    <w:rsid w:val="00EE7060"/>
    <w:rsid w:val="00EE78C5"/>
    <w:rsid w:val="00EF032C"/>
    <w:rsid w:val="00EF0D8B"/>
    <w:rsid w:val="00EF1420"/>
    <w:rsid w:val="00EF15E7"/>
    <w:rsid w:val="00EF3456"/>
    <w:rsid w:val="00EF5BE1"/>
    <w:rsid w:val="00EF5CA7"/>
    <w:rsid w:val="00F0046B"/>
    <w:rsid w:val="00F004F2"/>
    <w:rsid w:val="00F0206C"/>
    <w:rsid w:val="00F0457A"/>
    <w:rsid w:val="00F06BE2"/>
    <w:rsid w:val="00F06CB3"/>
    <w:rsid w:val="00F0715A"/>
    <w:rsid w:val="00F077A2"/>
    <w:rsid w:val="00F1260B"/>
    <w:rsid w:val="00F130EA"/>
    <w:rsid w:val="00F157CE"/>
    <w:rsid w:val="00F16344"/>
    <w:rsid w:val="00F17609"/>
    <w:rsid w:val="00F17E9A"/>
    <w:rsid w:val="00F22B5B"/>
    <w:rsid w:val="00F25A82"/>
    <w:rsid w:val="00F25E02"/>
    <w:rsid w:val="00F25F6B"/>
    <w:rsid w:val="00F27DED"/>
    <w:rsid w:val="00F303F2"/>
    <w:rsid w:val="00F30945"/>
    <w:rsid w:val="00F31884"/>
    <w:rsid w:val="00F31D85"/>
    <w:rsid w:val="00F321C7"/>
    <w:rsid w:val="00F32FF0"/>
    <w:rsid w:val="00F33716"/>
    <w:rsid w:val="00F340B0"/>
    <w:rsid w:val="00F367CC"/>
    <w:rsid w:val="00F36A60"/>
    <w:rsid w:val="00F40034"/>
    <w:rsid w:val="00F400C3"/>
    <w:rsid w:val="00F40F3B"/>
    <w:rsid w:val="00F428FE"/>
    <w:rsid w:val="00F43F50"/>
    <w:rsid w:val="00F44ED9"/>
    <w:rsid w:val="00F45A74"/>
    <w:rsid w:val="00F475A7"/>
    <w:rsid w:val="00F53758"/>
    <w:rsid w:val="00F56F4C"/>
    <w:rsid w:val="00F57C61"/>
    <w:rsid w:val="00F57FE1"/>
    <w:rsid w:val="00F60CFF"/>
    <w:rsid w:val="00F615BB"/>
    <w:rsid w:val="00F6206D"/>
    <w:rsid w:val="00F6226F"/>
    <w:rsid w:val="00F628E5"/>
    <w:rsid w:val="00F630B6"/>
    <w:rsid w:val="00F637D9"/>
    <w:rsid w:val="00F63BD3"/>
    <w:rsid w:val="00F65BB4"/>
    <w:rsid w:val="00F65D57"/>
    <w:rsid w:val="00F66910"/>
    <w:rsid w:val="00F6777F"/>
    <w:rsid w:val="00F71B3B"/>
    <w:rsid w:val="00F73DD4"/>
    <w:rsid w:val="00F757CB"/>
    <w:rsid w:val="00F75B39"/>
    <w:rsid w:val="00F75E39"/>
    <w:rsid w:val="00F76229"/>
    <w:rsid w:val="00F7707A"/>
    <w:rsid w:val="00F77CD7"/>
    <w:rsid w:val="00F81BED"/>
    <w:rsid w:val="00F823F8"/>
    <w:rsid w:val="00F827A7"/>
    <w:rsid w:val="00F845CD"/>
    <w:rsid w:val="00F84826"/>
    <w:rsid w:val="00F84DA9"/>
    <w:rsid w:val="00F8537B"/>
    <w:rsid w:val="00F85665"/>
    <w:rsid w:val="00F91504"/>
    <w:rsid w:val="00F91F1B"/>
    <w:rsid w:val="00F9248F"/>
    <w:rsid w:val="00F934A3"/>
    <w:rsid w:val="00FA1712"/>
    <w:rsid w:val="00FA497D"/>
    <w:rsid w:val="00FA4ACA"/>
    <w:rsid w:val="00FA5771"/>
    <w:rsid w:val="00FA5F84"/>
    <w:rsid w:val="00FA61CE"/>
    <w:rsid w:val="00FA6D39"/>
    <w:rsid w:val="00FB222C"/>
    <w:rsid w:val="00FB26EC"/>
    <w:rsid w:val="00FB36AD"/>
    <w:rsid w:val="00FB40D9"/>
    <w:rsid w:val="00FB4529"/>
    <w:rsid w:val="00FB52EE"/>
    <w:rsid w:val="00FB5617"/>
    <w:rsid w:val="00FB73B2"/>
    <w:rsid w:val="00FC018E"/>
    <w:rsid w:val="00FC0248"/>
    <w:rsid w:val="00FC111D"/>
    <w:rsid w:val="00FC2EA1"/>
    <w:rsid w:val="00FC3538"/>
    <w:rsid w:val="00FC461C"/>
    <w:rsid w:val="00FC72D7"/>
    <w:rsid w:val="00FD037B"/>
    <w:rsid w:val="00FD11D3"/>
    <w:rsid w:val="00FD1B8E"/>
    <w:rsid w:val="00FD2395"/>
    <w:rsid w:val="00FD4EF4"/>
    <w:rsid w:val="00FD59FA"/>
    <w:rsid w:val="00FD6EB0"/>
    <w:rsid w:val="00FE0142"/>
    <w:rsid w:val="00FE19B3"/>
    <w:rsid w:val="00FE289B"/>
    <w:rsid w:val="00FE31F7"/>
    <w:rsid w:val="00FE3FAE"/>
    <w:rsid w:val="00FE42A6"/>
    <w:rsid w:val="00FE6A1E"/>
    <w:rsid w:val="00FE756A"/>
    <w:rsid w:val="00FE7DDD"/>
    <w:rsid w:val="00FF0284"/>
    <w:rsid w:val="00FF0D7A"/>
    <w:rsid w:val="00FF1670"/>
    <w:rsid w:val="00FF27AC"/>
    <w:rsid w:val="00FF2D0B"/>
    <w:rsid w:val="00FF3444"/>
    <w:rsid w:val="00FF546C"/>
    <w:rsid w:val="00FF599F"/>
    <w:rsid w:val="00FF61BC"/>
    <w:rsid w:val="00FF7468"/>
    <w:rsid w:val="01504A25"/>
    <w:rsid w:val="06190FCC"/>
    <w:rsid w:val="07536F8E"/>
    <w:rsid w:val="088F3B49"/>
    <w:rsid w:val="18BA2D91"/>
    <w:rsid w:val="1AD82C72"/>
    <w:rsid w:val="1BCB7B85"/>
    <w:rsid w:val="1C3964E1"/>
    <w:rsid w:val="248674EB"/>
    <w:rsid w:val="253E6CAA"/>
    <w:rsid w:val="27AF6515"/>
    <w:rsid w:val="2A2C4EF9"/>
    <w:rsid w:val="2D6D7CCB"/>
    <w:rsid w:val="30823E83"/>
    <w:rsid w:val="30A05CC2"/>
    <w:rsid w:val="31462D0D"/>
    <w:rsid w:val="45CA77BC"/>
    <w:rsid w:val="48AD7955"/>
    <w:rsid w:val="49CE129F"/>
    <w:rsid w:val="4D156695"/>
    <w:rsid w:val="549B319E"/>
    <w:rsid w:val="56525DF9"/>
    <w:rsid w:val="5F441D60"/>
    <w:rsid w:val="62DD43B4"/>
    <w:rsid w:val="646D1D84"/>
    <w:rsid w:val="6DB64D2C"/>
    <w:rsid w:val="728530A3"/>
    <w:rsid w:val="738B06CD"/>
    <w:rsid w:val="78AF2513"/>
    <w:rsid w:val="798D2973"/>
    <w:rsid w:val="7B324D5A"/>
    <w:rsid w:val="7E5D28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7"/>
    <w:semiHidden/>
    <w:unhideWhenUsed/>
    <w:qFormat/>
    <w:uiPriority w:val="0"/>
    <w:pPr>
      <w:jc w:val="left"/>
    </w:pPr>
  </w:style>
  <w:style w:type="paragraph" w:styleId="5">
    <w:name w:val="Body Text Indent"/>
    <w:basedOn w:val="1"/>
    <w:link w:val="19"/>
    <w:qFormat/>
    <w:uiPriority w:val="99"/>
    <w:pPr>
      <w:spacing w:after="120"/>
      <w:ind w:left="420" w:leftChars="200"/>
    </w:pPr>
  </w:style>
  <w:style w:type="paragraph" w:styleId="6">
    <w:name w:val="Date"/>
    <w:basedOn w:val="1"/>
    <w:next w:val="1"/>
    <w:link w:val="2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39"/>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8"/>
    <w:semiHidden/>
    <w:unhideWhenUsed/>
    <w:qFormat/>
    <w:uiPriority w:val="0"/>
    <w:rPr>
      <w:b/>
      <w:bCs/>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annotation reference"/>
    <w:basedOn w:val="13"/>
    <w:semiHidden/>
    <w:unhideWhenUsed/>
    <w:qFormat/>
    <w:uiPriority w:val="0"/>
    <w:rPr>
      <w:sz w:val="21"/>
      <w:szCs w:val="21"/>
    </w:rPr>
  </w:style>
  <w:style w:type="paragraph" w:customStyle="1" w:styleId="17">
    <w:name w:val="Char"/>
    <w:basedOn w:val="1"/>
    <w:qFormat/>
    <w:uiPriority w:val="0"/>
    <w:rPr>
      <w:rFonts w:ascii="Tahoma" w:hAnsi="Tahoma"/>
    </w:rPr>
  </w:style>
  <w:style w:type="paragraph" w:customStyle="1" w:styleId="18">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19">
    <w:name w:val="正文文本缩进 Char"/>
    <w:basedOn w:val="13"/>
    <w:link w:val="5"/>
    <w:qFormat/>
    <w:uiPriority w:val="99"/>
    <w:rPr>
      <w:kern w:val="2"/>
      <w:sz w:val="21"/>
      <w:szCs w:val="24"/>
    </w:rPr>
  </w:style>
  <w:style w:type="paragraph" w:customStyle="1" w:styleId="2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1">
    <w:name w:val="日期 Char"/>
    <w:basedOn w:val="13"/>
    <w:link w:val="6"/>
    <w:qFormat/>
    <w:uiPriority w:val="0"/>
    <w:rPr>
      <w:kern w:val="2"/>
      <w:sz w:val="21"/>
      <w:szCs w:val="24"/>
    </w:rPr>
  </w:style>
  <w:style w:type="paragraph" w:styleId="22">
    <w:name w:val="List Paragraph"/>
    <w:basedOn w:val="1"/>
    <w:qFormat/>
    <w:uiPriority w:val="34"/>
    <w:pPr>
      <w:ind w:firstLine="420" w:firstLineChars="200"/>
    </w:pPr>
  </w:style>
  <w:style w:type="character" w:customStyle="1" w:styleId="23">
    <w:name w:val="标题 1 Char"/>
    <w:basedOn w:val="13"/>
    <w:link w:val="2"/>
    <w:qFormat/>
    <w:uiPriority w:val="0"/>
    <w:rPr>
      <w:b/>
      <w:bCs/>
      <w:kern w:val="44"/>
      <w:sz w:val="44"/>
      <w:szCs w:val="44"/>
    </w:rPr>
  </w:style>
  <w:style w:type="paragraph" w:customStyle="1" w:styleId="24">
    <w:name w:val="标准文件_表格"/>
    <w:basedOn w:val="1"/>
    <w:qFormat/>
    <w:uiPriority w:val="0"/>
    <w:pPr>
      <w:widowControl/>
      <w:autoSpaceDE w:val="0"/>
      <w:autoSpaceDN w:val="0"/>
      <w:jc w:val="center"/>
    </w:pPr>
    <w:rPr>
      <w:rFonts w:ascii="宋体"/>
      <w:kern w:val="0"/>
      <w:sz w:val="18"/>
      <w:szCs w:val="20"/>
    </w:rPr>
  </w:style>
  <w:style w:type="character" w:customStyle="1" w:styleId="25">
    <w:name w:val="段 Char"/>
    <w:basedOn w:val="13"/>
    <w:link w:val="18"/>
    <w:qFormat/>
    <w:uiPriority w:val="0"/>
    <w:rPr>
      <w:rFonts w:ascii="宋体" w:cs="宋体"/>
      <w:sz w:val="21"/>
      <w:szCs w:val="21"/>
    </w:rPr>
  </w:style>
  <w:style w:type="character" w:styleId="26">
    <w:name w:val="Placeholder Text"/>
    <w:basedOn w:val="13"/>
    <w:semiHidden/>
    <w:qFormat/>
    <w:uiPriority w:val="99"/>
    <w:rPr>
      <w:color w:val="808080"/>
    </w:rPr>
  </w:style>
  <w:style w:type="character" w:customStyle="1" w:styleId="27">
    <w:name w:val="批注文字 Char"/>
    <w:basedOn w:val="13"/>
    <w:link w:val="4"/>
    <w:semiHidden/>
    <w:qFormat/>
    <w:uiPriority w:val="0"/>
    <w:rPr>
      <w:kern w:val="2"/>
      <w:sz w:val="21"/>
      <w:szCs w:val="24"/>
    </w:rPr>
  </w:style>
  <w:style w:type="character" w:customStyle="1" w:styleId="28">
    <w:name w:val="批注主题 Char"/>
    <w:basedOn w:val="27"/>
    <w:link w:val="10"/>
    <w:semiHidden/>
    <w:qFormat/>
    <w:uiPriority w:val="0"/>
    <w:rPr>
      <w:b/>
      <w:bCs/>
      <w:kern w:val="2"/>
      <w:sz w:val="21"/>
      <w:szCs w:val="24"/>
    </w:rPr>
  </w:style>
  <w:style w:type="paragraph" w:customStyle="1" w:styleId="29">
    <w:name w:val="标准文件_一级项"/>
    <w:qFormat/>
    <w:uiPriority w:val="0"/>
    <w:pPr>
      <w:numPr>
        <w:ilvl w:val="0"/>
        <w:numId w:val="1"/>
      </w:numPr>
    </w:pPr>
    <w:rPr>
      <w:rFonts w:ascii="宋体" w:hAnsi="Times New Roman" w:eastAsia="宋体" w:cs="Times New Roman"/>
      <w:sz w:val="21"/>
      <w:lang w:val="en-US" w:eastAsia="zh-CN" w:bidi="ar-SA"/>
    </w:rPr>
  </w:style>
  <w:style w:type="paragraph" w:customStyle="1" w:styleId="30">
    <w:name w:val="标准文件_三级项"/>
    <w:basedOn w:val="1"/>
    <w:qFormat/>
    <w:uiPriority w:val="0"/>
    <w:pPr>
      <w:numPr>
        <w:ilvl w:val="2"/>
        <w:numId w:val="1"/>
      </w:numPr>
      <w:adjustRightInd w:val="0"/>
      <w:spacing w:line="536870612" w:lineRule="auto"/>
    </w:pPr>
    <w:rPr>
      <w:szCs w:val="21"/>
    </w:rPr>
  </w:style>
  <w:style w:type="paragraph" w:customStyle="1" w:styleId="31">
    <w:name w:val="标准文件_二级项2"/>
    <w:basedOn w:val="1"/>
    <w:qFormat/>
    <w:uiPriority w:val="0"/>
    <w:pPr>
      <w:widowControl/>
      <w:numPr>
        <w:ilvl w:val="1"/>
        <w:numId w:val="1"/>
      </w:numPr>
      <w:autoSpaceDE w:val="0"/>
      <w:autoSpaceDN w:val="0"/>
      <w:ind w:left="1271" w:hanging="420"/>
    </w:pPr>
    <w:rPr>
      <w:rFonts w:ascii="宋体"/>
      <w:kern w:val="0"/>
      <w:szCs w:val="20"/>
    </w:rPr>
  </w:style>
  <w:style w:type="paragraph" w:customStyle="1" w:styleId="32">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33">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34">
    <w:name w:val="标准文件_段"/>
    <w:link w:val="3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标准文件_段 Char"/>
    <w:link w:val="34"/>
    <w:qFormat/>
    <w:uiPriority w:val="0"/>
    <w:rPr>
      <w:rFonts w:ascii="宋体"/>
      <w:sz w:val="21"/>
    </w:rPr>
  </w:style>
  <w:style w:type="paragraph" w:customStyle="1" w:styleId="36">
    <w:name w:val="附录表标号"/>
    <w:basedOn w:val="1"/>
    <w:next w:val="18"/>
    <w:qFormat/>
    <w:uiPriority w:val="0"/>
    <w:pPr>
      <w:numPr>
        <w:ilvl w:val="0"/>
        <w:numId w:val="2"/>
      </w:numPr>
      <w:tabs>
        <w:tab w:val="clear" w:pos="0"/>
      </w:tabs>
      <w:spacing w:line="14" w:lineRule="exact"/>
      <w:ind w:left="811" w:hanging="448"/>
      <w:jc w:val="center"/>
      <w:outlineLvl w:val="0"/>
    </w:pPr>
    <w:rPr>
      <w:color w:val="FFFFFF"/>
    </w:rPr>
  </w:style>
  <w:style w:type="paragraph" w:customStyle="1" w:styleId="37">
    <w:name w:val="附录表标题"/>
    <w:basedOn w:val="1"/>
    <w:next w:val="18"/>
    <w:qFormat/>
    <w:uiPriority w:val="0"/>
    <w:pPr>
      <w:numPr>
        <w:ilvl w:val="1"/>
        <w:numId w:val="2"/>
      </w:numPr>
      <w:tabs>
        <w:tab w:val="left" w:pos="180"/>
      </w:tabs>
      <w:spacing w:beforeLines="50" w:afterLines="50"/>
      <w:ind w:left="0" w:firstLine="0"/>
      <w:jc w:val="center"/>
    </w:pPr>
    <w:rPr>
      <w:rFonts w:ascii="黑体" w:eastAsia="黑体"/>
      <w:szCs w:val="21"/>
    </w:rPr>
  </w:style>
  <w:style w:type="paragraph" w:customStyle="1" w:styleId="38">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character" w:customStyle="1" w:styleId="39">
    <w:name w:val="页脚 Char"/>
    <w:basedOn w:val="13"/>
    <w:link w:val="8"/>
    <w:qFormat/>
    <w:uiPriority w:val="99"/>
    <w:rPr>
      <w:kern w:val="2"/>
      <w:sz w:val="18"/>
      <w:szCs w:val="18"/>
    </w:rPr>
  </w:style>
  <w:style w:type="paragraph" w:customStyle="1" w:styleId="40">
    <w:name w:val="标准文件_注："/>
    <w:next w:val="34"/>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bbb</Company>
  <Pages>14</Pages>
  <Words>3160</Words>
  <Characters>4050</Characters>
  <Lines>90</Lines>
  <Paragraphs>25</Paragraphs>
  <TotalTime>3</TotalTime>
  <ScaleCrop>false</ScaleCrop>
  <LinksUpToDate>false</LinksUpToDate>
  <CharactersWithSpaces>4146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2024-09-25T02:28:00Z</dcterms:created>
  <dc:creator>jjj</dc:creator>
  <cp:lastModifiedBy>李一民</cp:lastModifiedBy>
  <cp:lastPrinted>2023-11-23T08:01:00Z</cp:lastPrinted>
  <dcterms:modified xsi:type="dcterms:W3CDTF">2025-09-02T03:47:10Z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DAA5041ED3204FBDB02FA07B3C75DF8B_13</vt:lpwstr>
  </property>
  <property fmtid="{D5CDD505-2E9C-101B-9397-08002B2CF9AE}" pid="4" name="KSOTemplateDocerSaveRecord">
    <vt:lpwstr>eyJoZGlkIjoiNzIwMTgxNmE2ZDFiZjVjODA2ODZiNWVlYWY1ZTIzM2EiLCJ1c2VySWQiOiI0MDAxMTkyIn0=</vt:lpwstr>
  </property>
</Properties>
</file>